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B9D" w:rsidRDefault="009B1B9D">
      <w:pPr>
        <w:pStyle w:val="Textonotapie"/>
        <w:tabs>
          <w:tab w:val="left" w:pos="1021"/>
          <w:tab w:val="left" w:pos="8080"/>
        </w:tabs>
        <w:ind w:right="1189"/>
        <w:rPr>
          <w:rFonts w:ascii="Arial" w:hAnsi="Arial" w:cs="Arial"/>
          <w:sz w:val="22"/>
        </w:rPr>
        <w:sectPr w:rsidR="009B1B9D" w:rsidSect="00D85FC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992" w:right="567" w:bottom="255" w:left="794" w:header="289" w:footer="0" w:gutter="0"/>
          <w:cols w:space="720" w:equalWidth="0">
            <w:col w:w="9411"/>
          </w:cols>
          <w:docGrid w:linePitch="272"/>
        </w:sectPr>
      </w:pPr>
    </w:p>
    <w:p w:rsidR="009B1B9D" w:rsidRDefault="009B1B9D">
      <w:pPr>
        <w:pStyle w:val="Textonotapie"/>
        <w:tabs>
          <w:tab w:val="left" w:pos="1021"/>
          <w:tab w:val="left" w:pos="8080"/>
        </w:tabs>
        <w:rPr>
          <w:rFonts w:ascii="Arial" w:hAnsi="Arial" w:cs="Arial"/>
          <w:sz w:val="10"/>
        </w:rPr>
      </w:pPr>
    </w:p>
    <w:p w:rsidR="00A5547B" w:rsidRDefault="00A5547B">
      <w:pPr>
        <w:pStyle w:val="Textonotapie"/>
        <w:tabs>
          <w:tab w:val="left" w:pos="1021"/>
          <w:tab w:val="left" w:pos="8080"/>
        </w:tabs>
        <w:rPr>
          <w:rFonts w:ascii="Arial" w:hAnsi="Arial" w:cs="Arial"/>
          <w:sz w:val="10"/>
        </w:rPr>
      </w:pPr>
    </w:p>
    <w:p w:rsidR="00A5547B" w:rsidRDefault="00A5547B">
      <w:pPr>
        <w:pStyle w:val="Textonotapie"/>
        <w:tabs>
          <w:tab w:val="left" w:pos="1021"/>
          <w:tab w:val="left" w:pos="8080"/>
        </w:tabs>
        <w:rPr>
          <w:rFonts w:ascii="Arial" w:hAnsi="Arial" w:cs="Arial"/>
          <w:sz w:val="10"/>
        </w:rPr>
      </w:pPr>
    </w:p>
    <w:p w:rsidR="00A5547B" w:rsidRDefault="00A5547B">
      <w:pPr>
        <w:pStyle w:val="Textonotapie"/>
        <w:tabs>
          <w:tab w:val="left" w:pos="1021"/>
          <w:tab w:val="left" w:pos="8080"/>
        </w:tabs>
        <w:rPr>
          <w:rFonts w:ascii="Arial" w:hAnsi="Arial" w:cs="Arial"/>
          <w:sz w:val="10"/>
        </w:rPr>
      </w:pPr>
    </w:p>
    <w:p w:rsidR="00A5547B" w:rsidRPr="002E77A9" w:rsidRDefault="00A5547B" w:rsidP="00A5547B">
      <w:pPr>
        <w:jc w:val="both"/>
        <w:rPr>
          <w:rFonts w:ascii="Arial" w:hAnsi="Arial" w:cs="Arial"/>
          <w:b/>
          <w:lang w:val="es-ES"/>
        </w:rPr>
      </w:pPr>
      <w:r w:rsidRPr="002E77A9">
        <w:rPr>
          <w:rFonts w:ascii="Arial" w:hAnsi="Arial" w:cs="Arial"/>
          <w:b/>
          <w:lang w:val="es-ES"/>
        </w:rPr>
        <w:t xml:space="preserve">Memoria del análisis de impacto normativo del proyecto de </w:t>
      </w:r>
      <w:r w:rsidRPr="009874A9">
        <w:rPr>
          <w:rFonts w:ascii="Arial" w:hAnsi="Arial" w:cs="Arial"/>
          <w:b/>
          <w:highlight w:val="lightGray"/>
          <w:lang w:val="es-ES"/>
        </w:rPr>
        <w:t>Orden por la que se modifica</w:t>
      </w:r>
      <w:r w:rsidR="00FF4CAA" w:rsidRPr="009874A9">
        <w:rPr>
          <w:rFonts w:ascii="Arial" w:hAnsi="Arial" w:cs="Arial"/>
          <w:b/>
          <w:highlight w:val="lightGray"/>
          <w:lang w:val="es-ES"/>
        </w:rPr>
        <w:t>n los Anexos I, II y III d</w:t>
      </w:r>
      <w:r w:rsidRPr="009874A9">
        <w:rPr>
          <w:rFonts w:ascii="Arial" w:hAnsi="Arial" w:cs="Arial"/>
          <w:b/>
          <w:highlight w:val="lightGray"/>
          <w:lang w:val="es-ES"/>
        </w:rPr>
        <w:t>el Real Decreto 78/2019, de 22 de febrero, por el que se aprueba el Reglamento que desarrolla la Ley 49/1999, de 20 de diciembre, sobre medidas de control de sustancias químicas susceptibles de desvío para la fabricación de armas químicas</w:t>
      </w:r>
      <w:r w:rsidRPr="00A5547B">
        <w:rPr>
          <w:rFonts w:ascii="Arial" w:hAnsi="Arial" w:cs="Arial"/>
          <w:b/>
          <w:lang w:val="es-ES"/>
        </w:rPr>
        <w:t>.</w:t>
      </w: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1462FF" w:rsidRDefault="001462FF">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1462FF" w:rsidRDefault="001462FF">
      <w:pPr>
        <w:pStyle w:val="Textonotapie"/>
        <w:tabs>
          <w:tab w:val="left" w:pos="1021"/>
          <w:tab w:val="left" w:pos="8080"/>
        </w:tabs>
        <w:rPr>
          <w:rFonts w:ascii="Arial" w:hAnsi="Arial" w:cs="Arial"/>
          <w:sz w:val="24"/>
          <w:szCs w:val="24"/>
        </w:rPr>
      </w:pPr>
    </w:p>
    <w:p w:rsidR="001462FF" w:rsidRDefault="001462FF">
      <w:pPr>
        <w:pStyle w:val="Textonotapie"/>
        <w:tabs>
          <w:tab w:val="left" w:pos="1021"/>
          <w:tab w:val="left" w:pos="8080"/>
        </w:tabs>
        <w:rPr>
          <w:rFonts w:ascii="Arial" w:hAnsi="Arial" w:cs="Arial"/>
          <w:sz w:val="24"/>
          <w:szCs w:val="24"/>
        </w:rPr>
      </w:pPr>
    </w:p>
    <w:p w:rsidR="00A5547B" w:rsidRPr="00D74226" w:rsidRDefault="00A5547B" w:rsidP="00476958">
      <w:pPr>
        <w:pStyle w:val="Ttulo1"/>
        <w:numPr>
          <w:ilvl w:val="0"/>
          <w:numId w:val="24"/>
        </w:numPr>
        <w:rPr>
          <w:rFonts w:cs="Arial"/>
          <w:sz w:val="28"/>
          <w:szCs w:val="28"/>
          <w:lang w:val="es-ES"/>
        </w:rPr>
      </w:pPr>
      <w:bookmarkStart w:id="0" w:name="_Toc83974155"/>
      <w:r w:rsidRPr="00D74226">
        <w:rPr>
          <w:rFonts w:cs="Arial"/>
          <w:sz w:val="28"/>
          <w:szCs w:val="28"/>
          <w:lang w:val="es-ES"/>
        </w:rPr>
        <w:t>RESUMEN EJECUTIVO</w:t>
      </w:r>
      <w:bookmarkEnd w:id="0"/>
    </w:p>
    <w:p w:rsidR="00A5547B" w:rsidRPr="00D74226" w:rsidRDefault="00A5547B" w:rsidP="00A5547B">
      <w:pPr>
        <w:rPr>
          <w:rFonts w:ascii="Arial" w:hAnsi="Arial" w:cs="Arial"/>
          <w:b/>
          <w:bCs/>
          <w:lang w:val="es-ES"/>
        </w:rPr>
      </w:pPr>
    </w:p>
    <w:tbl>
      <w:tblPr>
        <w:tblpPr w:leftFromText="141" w:rightFromText="141" w:vertAnchor="text" w:tblpY="1"/>
        <w:tblOverlap w:val="never"/>
        <w:tblW w:w="9645" w:type="dxa"/>
        <w:tblLayout w:type="fixed"/>
        <w:tblLook w:val="0000" w:firstRow="0" w:lastRow="0" w:firstColumn="0" w:lastColumn="0" w:noHBand="0" w:noVBand="0"/>
      </w:tblPr>
      <w:tblGrid>
        <w:gridCol w:w="2087"/>
        <w:gridCol w:w="5199"/>
        <w:gridCol w:w="1038"/>
        <w:gridCol w:w="1321"/>
      </w:tblGrid>
      <w:tr w:rsidR="00A5547B" w:rsidRPr="002D3C93" w:rsidTr="00EF1193">
        <w:trPr>
          <w:cantSplit/>
          <w:trHeight w:val="1663"/>
        </w:trPr>
        <w:tc>
          <w:tcPr>
            <w:tcW w:w="2087" w:type="dxa"/>
            <w:tcBorders>
              <w:top w:val="single" w:sz="32"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A5547B" w:rsidRPr="002D3C93" w:rsidRDefault="00A5547B" w:rsidP="001462F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2D3C93">
              <w:rPr>
                <w:rFonts w:ascii="Arial" w:eastAsia="ヒラギノ角ゴ Pro W3" w:hAnsi="Arial" w:cs="Arial"/>
                <w:b/>
                <w:bCs/>
                <w:lang w:val="es-ES"/>
              </w:rPr>
              <w:t>Ministerio/</w:t>
            </w:r>
          </w:p>
          <w:p w:rsidR="00A5547B" w:rsidRPr="002D3C93" w:rsidRDefault="00A5547B" w:rsidP="001462F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2D3C93">
              <w:rPr>
                <w:rFonts w:ascii="Arial" w:eastAsia="ヒラギノ角ゴ Pro W3" w:hAnsi="Arial" w:cs="Arial"/>
                <w:b/>
                <w:bCs/>
                <w:lang w:val="es-ES"/>
              </w:rPr>
              <w:t>Órgano proponente</w:t>
            </w:r>
          </w:p>
        </w:tc>
        <w:tc>
          <w:tcPr>
            <w:tcW w:w="5199" w:type="dxa"/>
            <w:tcBorders>
              <w:top w:val="single" w:sz="32" w:space="0" w:color="000000"/>
              <w:left w:val="single" w:sz="16" w:space="0" w:color="000000"/>
              <w:bottom w:val="single" w:sz="16" w:space="0" w:color="000000"/>
              <w:right w:val="single" w:sz="2" w:space="0" w:color="000000"/>
            </w:tcBorders>
            <w:shd w:val="clear" w:color="auto" w:fill="EEFFEB"/>
            <w:tcMar>
              <w:top w:w="100" w:type="dxa"/>
              <w:left w:w="100" w:type="dxa"/>
              <w:bottom w:w="100" w:type="dxa"/>
              <w:right w:w="100" w:type="dxa"/>
            </w:tcMar>
          </w:tcPr>
          <w:p w:rsidR="00A5547B" w:rsidRPr="002D3C93" w:rsidRDefault="00A5547B" w:rsidP="005635AE">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rPr>
                <w:rFonts w:ascii="Arial" w:eastAsia="ヒラギノ角ゴ Pro W3" w:hAnsi="Arial" w:cs="Arial"/>
                <w:lang w:val="es-ES"/>
              </w:rPr>
            </w:pPr>
            <w:r>
              <w:rPr>
                <w:rFonts w:ascii="Arial" w:eastAsia="ヒラギノ角ゴ Pro W3" w:hAnsi="Arial" w:cs="Arial"/>
                <w:lang w:val="es-ES"/>
              </w:rPr>
              <w:t>Secretaría General de la Autoridad Nacional para la Prohibición de las Armas Químicas</w:t>
            </w:r>
            <w:r w:rsidRPr="002D3C93">
              <w:rPr>
                <w:rFonts w:ascii="Arial" w:eastAsia="ヒラギノ角ゴ Pro W3" w:hAnsi="Arial" w:cs="Arial"/>
                <w:lang w:val="es-ES"/>
              </w:rPr>
              <w:t>. Secretaria de Estado de Industria. Ministerio Industria y Turismo.</w:t>
            </w:r>
          </w:p>
        </w:tc>
        <w:tc>
          <w:tcPr>
            <w:tcW w:w="1038" w:type="dxa"/>
            <w:tcBorders>
              <w:top w:val="single" w:sz="32" w:space="0" w:color="000000"/>
              <w:left w:val="single" w:sz="2" w:space="0" w:color="000000"/>
              <w:bottom w:val="single" w:sz="16" w:space="0" w:color="000000"/>
              <w:right w:val="single" w:sz="2" w:space="0" w:color="000000"/>
            </w:tcBorders>
            <w:shd w:val="clear" w:color="auto" w:fill="E3DFA6"/>
            <w:tcMar>
              <w:top w:w="100" w:type="dxa"/>
              <w:left w:w="100" w:type="dxa"/>
              <w:bottom w:w="100" w:type="dxa"/>
              <w:right w:w="100" w:type="dxa"/>
            </w:tcMar>
          </w:tcPr>
          <w:p w:rsidR="00A5547B" w:rsidRPr="002D3C93" w:rsidRDefault="00A5547B" w:rsidP="001462F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pacing w:before="200" w:after="80" w:line="336" w:lineRule="auto"/>
              <w:rPr>
                <w:rFonts w:ascii="Arial" w:eastAsia="ヒラギノ角ゴ Pro W3" w:hAnsi="Arial" w:cs="Arial"/>
                <w:b/>
                <w:bCs/>
                <w:lang w:val="es-ES"/>
              </w:rPr>
            </w:pPr>
            <w:r w:rsidRPr="002D3C93">
              <w:rPr>
                <w:rFonts w:ascii="Arial" w:eastAsia="ヒラギノ角ゴ Pro W3" w:hAnsi="Arial" w:cs="Arial"/>
                <w:b/>
                <w:bCs/>
                <w:lang w:val="es-ES"/>
              </w:rPr>
              <w:t>Fecha</w:t>
            </w:r>
          </w:p>
        </w:tc>
        <w:tc>
          <w:tcPr>
            <w:tcW w:w="1321" w:type="dxa"/>
            <w:tcBorders>
              <w:top w:val="single" w:sz="32" w:space="0" w:color="000000"/>
              <w:left w:val="single" w:sz="2" w:space="0" w:color="000000"/>
              <w:bottom w:val="single" w:sz="16" w:space="0" w:color="000000"/>
              <w:right w:val="single" w:sz="32" w:space="0" w:color="000000"/>
            </w:tcBorders>
            <w:shd w:val="clear" w:color="auto" w:fill="EEFFEB"/>
            <w:tcMar>
              <w:top w:w="100" w:type="dxa"/>
              <w:left w:w="100" w:type="dxa"/>
              <w:bottom w:w="100" w:type="dxa"/>
              <w:right w:w="100" w:type="dxa"/>
            </w:tcMar>
          </w:tcPr>
          <w:p w:rsidR="00A5547B" w:rsidRPr="002D3C93" w:rsidRDefault="00AA083B" w:rsidP="001462F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pacing w:before="200" w:after="80" w:line="336" w:lineRule="auto"/>
              <w:rPr>
                <w:rFonts w:ascii="Arial" w:eastAsia="ヒラギノ角ゴ Pro W3" w:hAnsi="Arial" w:cs="Arial"/>
                <w:lang w:val="es-ES"/>
              </w:rPr>
            </w:pPr>
            <w:r>
              <w:rPr>
                <w:rFonts w:ascii="Arial" w:eastAsia="ヒラギノ角ゴ Pro W3" w:hAnsi="Arial" w:cs="Arial"/>
                <w:lang w:val="es-ES"/>
              </w:rPr>
              <w:t>09-10</w:t>
            </w:r>
            <w:r w:rsidR="00A5547B" w:rsidRPr="002D3C93">
              <w:rPr>
                <w:rFonts w:ascii="Arial" w:eastAsia="ヒラギノ角ゴ Pro W3" w:hAnsi="Arial" w:cs="Arial"/>
                <w:lang w:val="es-ES"/>
              </w:rPr>
              <w:t>-2024</w:t>
            </w:r>
          </w:p>
        </w:tc>
      </w:tr>
      <w:tr w:rsidR="00A5547B" w:rsidRPr="002D3C93" w:rsidTr="00EF1193">
        <w:trPr>
          <w:cantSplit/>
          <w:trHeight w:val="1468"/>
        </w:trPr>
        <w:tc>
          <w:tcPr>
            <w:tcW w:w="2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A5547B" w:rsidRPr="002D3C93" w:rsidRDefault="00A5547B" w:rsidP="001462F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2D3C93">
              <w:rPr>
                <w:rFonts w:ascii="Arial" w:eastAsia="ヒラギノ角ゴ Pro W3" w:hAnsi="Arial" w:cs="Arial"/>
                <w:b/>
                <w:bCs/>
                <w:lang w:val="es-ES"/>
              </w:rPr>
              <w:t>Título de la norma</w:t>
            </w:r>
          </w:p>
        </w:tc>
        <w:tc>
          <w:tcPr>
            <w:tcW w:w="7558" w:type="dxa"/>
            <w:gridSpan w:val="3"/>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A5547B" w:rsidRPr="002D3C93" w:rsidRDefault="001462FF" w:rsidP="00F9488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jc w:val="both"/>
              <w:rPr>
                <w:rFonts w:ascii="Arial" w:eastAsia="ヒラギノ角ゴ Pro W3" w:hAnsi="Arial" w:cs="Arial"/>
                <w:lang w:val="es-ES"/>
              </w:rPr>
            </w:pPr>
            <w:r w:rsidRPr="001462FF">
              <w:rPr>
                <w:rFonts w:ascii="Arial" w:eastAsia="ヒラギノ角ゴ Pro W3" w:hAnsi="Arial" w:cs="Arial"/>
                <w:lang w:val="es-ES"/>
              </w:rPr>
              <w:t xml:space="preserve">Orden </w:t>
            </w:r>
            <w:r w:rsidR="009874A9">
              <w:rPr>
                <w:rFonts w:ascii="Arial" w:eastAsia="ヒラギノ角ゴ Pro W3" w:hAnsi="Arial" w:cs="Arial"/>
                <w:lang w:val="es-ES"/>
              </w:rPr>
              <w:t xml:space="preserve">por la que se </w:t>
            </w:r>
            <w:r w:rsidR="002C7204">
              <w:rPr>
                <w:rFonts w:ascii="Arial" w:eastAsia="ヒラギノ角ゴ Pro W3" w:hAnsi="Arial" w:cs="Arial"/>
                <w:lang w:val="es-ES"/>
              </w:rPr>
              <w:t>modifican los Anexos I, II y III</w:t>
            </w:r>
            <w:r w:rsidRPr="001462FF">
              <w:rPr>
                <w:rFonts w:ascii="Arial" w:eastAsia="ヒラギノ角ゴ Pro W3" w:hAnsi="Arial" w:cs="Arial"/>
                <w:lang w:val="es-ES"/>
              </w:rPr>
              <w:t xml:space="preserve"> </w:t>
            </w:r>
            <w:r w:rsidR="002C7204">
              <w:rPr>
                <w:rFonts w:ascii="Arial" w:eastAsia="ヒラギノ角ゴ Pro W3" w:hAnsi="Arial" w:cs="Arial"/>
                <w:lang w:val="es-ES"/>
              </w:rPr>
              <w:t>d</w:t>
            </w:r>
            <w:r w:rsidRPr="001462FF">
              <w:rPr>
                <w:rFonts w:ascii="Arial" w:eastAsia="ヒラギノ角ゴ Pro W3" w:hAnsi="Arial" w:cs="Arial"/>
                <w:lang w:val="es-ES"/>
              </w:rPr>
              <w:t>el R</w:t>
            </w:r>
            <w:r w:rsidR="00F94885">
              <w:rPr>
                <w:rFonts w:ascii="Arial" w:eastAsia="ヒラギノ角ゴ Pro W3" w:hAnsi="Arial" w:cs="Arial"/>
                <w:lang w:val="es-ES"/>
              </w:rPr>
              <w:t>eal Decreto 78/2019, de 22 de febrero, por el que se aprueba el r</w:t>
            </w:r>
            <w:r w:rsidRPr="001462FF">
              <w:rPr>
                <w:rFonts w:ascii="Arial" w:eastAsia="ヒラギノ角ゴ Pro W3" w:hAnsi="Arial" w:cs="Arial"/>
                <w:lang w:val="es-ES"/>
              </w:rPr>
              <w:t>eglamento que desarrolla la Ley 49/1999, de 20 de diciembre, sobre medidas de control de sustancias químicas susceptibles de desvío para la fabricación de armas químicas.</w:t>
            </w:r>
          </w:p>
        </w:tc>
      </w:tr>
      <w:tr w:rsidR="00A5547B" w:rsidRPr="002D3C93" w:rsidTr="00EF1193">
        <w:trPr>
          <w:cantSplit/>
          <w:trHeight w:val="1210"/>
        </w:trPr>
        <w:tc>
          <w:tcPr>
            <w:tcW w:w="2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A5547B" w:rsidRPr="002D3C93" w:rsidRDefault="00A5547B" w:rsidP="001462F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2D3C93">
              <w:rPr>
                <w:rFonts w:ascii="Arial" w:eastAsia="ヒラギノ角ゴ Pro W3" w:hAnsi="Arial" w:cs="Arial"/>
                <w:b/>
                <w:bCs/>
                <w:lang w:val="es-ES"/>
              </w:rPr>
              <w:t>Tipo de Memoria</w:t>
            </w:r>
          </w:p>
        </w:tc>
        <w:tc>
          <w:tcPr>
            <w:tcW w:w="7558" w:type="dxa"/>
            <w:gridSpan w:val="3"/>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1462FF" w:rsidRDefault="00A5547B" w:rsidP="001462F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rFonts w:ascii="Arial" w:eastAsia="ヒラギノ角ゴ Pro W3" w:hAnsi="Arial" w:cs="Arial"/>
                <w:lang w:val="es-ES"/>
              </w:rPr>
              <w:t xml:space="preserve">Normal  </w:t>
            </w:r>
            <w:r w:rsidRPr="002D3C93">
              <w:rPr>
                <w:noProof/>
                <w:lang w:val="es-ES"/>
              </w:rPr>
              <mc:AlternateContent>
                <mc:Choice Requires="wps">
                  <w:drawing>
                    <wp:inline distT="0" distB="0" distL="0" distR="0" wp14:anchorId="284A1EA2" wp14:editId="3E85F3CF">
                      <wp:extent cx="165100" cy="177800"/>
                      <wp:effectExtent l="0" t="0" r="25400" b="12700"/>
                      <wp:docPr id="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547B" w:rsidRDefault="00A5547B" w:rsidP="00A5547B">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284A1EA2" id="Rectangle 16"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BHCS2IawIAAPUEAAAOAAAAAAAAAAAAAAAAAC4CAABk&#10;cnMvZTJvRG9jLnhtbFBLAQItABQABgAIAAAAIQCv9gKg2gAAAAMBAAAPAAAAAAAAAAAAAAAAAMUE&#10;AABkcnMvZG93bnJldi54bWxQSwUGAAAAAAQABADzAAAAzAUAAAAA&#10;" filled="f" strokeweight="1pt">
                      <v:path arrowok="t"/>
                      <v:textbox inset="8pt,8pt,8pt,8pt">
                        <w:txbxContent>
                          <w:p w:rsidR="00A5547B" w:rsidRDefault="00A5547B" w:rsidP="00A5547B">
                            <w:pPr>
                              <w:pStyle w:val="Formatolibre"/>
                              <w:rPr>
                                <w:rFonts w:ascii="Times New Roman" w:hAnsi="Times New Roman" w:cs="Times New Roman"/>
                                <w:noProof/>
                                <w:color w:val="auto"/>
                                <w:sz w:val="20"/>
                                <w:szCs w:val="20"/>
                                <w:lang w:val="en-US"/>
                              </w:rPr>
                            </w:pPr>
                          </w:p>
                        </w:txbxContent>
                      </v:textbox>
                      <w10:anchorlock/>
                    </v:rect>
                  </w:pict>
                </mc:Fallback>
              </mc:AlternateContent>
            </w:r>
            <w:r w:rsidRPr="002D3C93">
              <w:rPr>
                <w:rFonts w:ascii="Arial" w:eastAsia="ヒラギノ角ゴ Pro W3" w:hAnsi="Arial" w:cs="Arial"/>
                <w:lang w:val="es-ES"/>
              </w:rPr>
              <w:t xml:space="preserve">                    Abreviada  </w:t>
            </w:r>
            <w:r w:rsidRPr="002D3C93">
              <w:rPr>
                <w:noProof/>
                <w:lang w:val="es-ES"/>
              </w:rPr>
              <mc:AlternateContent>
                <mc:Choice Requires="wps">
                  <w:drawing>
                    <wp:inline distT="0" distB="0" distL="0" distR="0" wp14:anchorId="33E72690" wp14:editId="45BF3E66">
                      <wp:extent cx="165100" cy="177800"/>
                      <wp:effectExtent l="0" t="0" r="25400" b="12700"/>
                      <wp:docPr id="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pattFill prst="wdDnDiag">
                                <a:fgClr>
                                  <a:srgbClr val="000000"/>
                                </a:fgClr>
                                <a:bgClr>
                                  <a:srgbClr val="FFFFFF"/>
                                </a:bgClr>
                              </a:pattFill>
                              <a:ln w="12700">
                                <a:solidFill>
                                  <a:srgbClr val="000000"/>
                                </a:solidFill>
                                <a:miter lim="800000"/>
                                <a:headEnd/>
                                <a:tailEnd/>
                              </a:ln>
                            </wps:spPr>
                            <wps:txbx>
                              <w:txbxContent>
                                <w:p w:rsidR="00A5547B" w:rsidRPr="00910C1D" w:rsidRDefault="00A5547B" w:rsidP="00A5547B">
                                  <w:pPr>
                                    <w:pStyle w:val="Formatolibre"/>
                                    <w:rPr>
                                      <w:rFonts w:ascii="Times New Roman" w:hAnsi="Times New Roman" w:cs="Times New Roman"/>
                                      <w:noProof/>
                                      <w:color w:val="auto"/>
                                      <w:sz w:val="20"/>
                                      <w:szCs w:val="20"/>
                                      <w:lang w:val="es-ES"/>
                                    </w:rPr>
                                  </w:pPr>
                                  <w:r>
                                    <w:rPr>
                                      <w:rFonts w:ascii="Times New Roman" w:hAnsi="Times New Roman" w:cs="Times New Roman"/>
                                      <w:noProof/>
                                      <w:color w:val="auto"/>
                                      <w:sz w:val="20"/>
                                      <w:szCs w:val="20"/>
                                      <w:lang w:val="es-ES"/>
                                    </w:rPr>
                                    <w:t>XaskdjflajdsflX</w:t>
                                  </w:r>
                                </w:p>
                              </w:txbxContent>
                            </wps:txbx>
                            <wps:bodyPr rot="0" vert="horz" wrap="square" lIns="101600" tIns="101600" rIns="101600" bIns="101600" anchor="t" anchorCtr="0" upright="1">
                              <a:noAutofit/>
                            </wps:bodyPr>
                          </wps:wsp>
                        </a:graphicData>
                      </a:graphic>
                    </wp:inline>
                  </w:drawing>
                </mc:Choice>
                <mc:Fallback>
                  <w:pict>
                    <v:rect w14:anchorId="33E72690" id="Rectangle 15" o:sp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" fillcolor="black" strokeweight="1pt">
                      <v:fill r:id="rId13" o:title="" type="pattern"/>
                      <v:path arrowok="t"/>
                      <v:textbox inset="8pt,8pt,8pt,8pt">
                        <w:txbxContent>
                          <w:p w:rsidR="00A5547B" w:rsidRPr="00910C1D" w:rsidRDefault="00A5547B" w:rsidP="00A5547B">
                            <w:pPr>
                              <w:pStyle w:val="Formatolibre"/>
                              <w:rPr>
                                <w:rFonts w:ascii="Times New Roman" w:hAnsi="Times New Roman" w:cs="Times New Roman"/>
                                <w:noProof/>
                                <w:color w:val="auto"/>
                                <w:sz w:val="20"/>
                                <w:szCs w:val="20"/>
                                <w:lang w:val="es-ES"/>
                              </w:rPr>
                            </w:pPr>
                            <w:r>
                              <w:rPr>
                                <w:rFonts w:ascii="Times New Roman" w:hAnsi="Times New Roman" w:cs="Times New Roman"/>
                                <w:noProof/>
                                <w:color w:val="auto"/>
                                <w:sz w:val="20"/>
                                <w:szCs w:val="20"/>
                                <w:lang w:val="es-ES"/>
                              </w:rPr>
                              <w:t>XaskdjflajdsflX</w:t>
                            </w:r>
                          </w:p>
                        </w:txbxContent>
                      </v:textbox>
                      <w10:anchorlock/>
                    </v:rect>
                  </w:pict>
                </mc:Fallback>
              </mc:AlternateContent>
            </w:r>
          </w:p>
          <w:p w:rsidR="001462FF" w:rsidRPr="001462FF" w:rsidRDefault="001462FF" w:rsidP="001462FF">
            <w:pPr>
              <w:rPr>
                <w:rFonts w:ascii="Arial" w:eastAsia="ヒラギノ角ゴ Pro W3" w:hAnsi="Arial" w:cs="Arial"/>
                <w:lang w:val="es-ES"/>
              </w:rPr>
            </w:pPr>
          </w:p>
          <w:p w:rsidR="001462FF" w:rsidRDefault="001462FF" w:rsidP="001462FF">
            <w:pPr>
              <w:rPr>
                <w:rFonts w:ascii="Arial" w:eastAsia="ヒラギノ角ゴ Pro W3" w:hAnsi="Arial" w:cs="Arial"/>
                <w:lang w:val="es-ES"/>
              </w:rPr>
            </w:pPr>
          </w:p>
          <w:p w:rsidR="00A5547B" w:rsidRDefault="001462FF" w:rsidP="001462FF">
            <w:pPr>
              <w:tabs>
                <w:tab w:val="left" w:pos="1818"/>
              </w:tabs>
              <w:rPr>
                <w:rFonts w:ascii="Arial" w:eastAsia="ヒラギノ角ゴ Pro W3" w:hAnsi="Arial" w:cs="Arial"/>
                <w:lang w:val="es-ES"/>
              </w:rPr>
            </w:pPr>
            <w:r>
              <w:rPr>
                <w:rFonts w:ascii="Arial" w:eastAsia="ヒラギノ角ゴ Pro W3" w:hAnsi="Arial" w:cs="Arial"/>
                <w:lang w:val="es-ES"/>
              </w:rPr>
              <w:tab/>
            </w:r>
          </w:p>
          <w:p w:rsidR="001462FF" w:rsidRDefault="001462FF" w:rsidP="001462FF">
            <w:pPr>
              <w:tabs>
                <w:tab w:val="left" w:pos="1818"/>
              </w:tabs>
              <w:rPr>
                <w:rFonts w:ascii="Arial" w:eastAsia="ヒラギノ角ゴ Pro W3" w:hAnsi="Arial" w:cs="Arial"/>
                <w:lang w:val="es-ES"/>
              </w:rPr>
            </w:pPr>
          </w:p>
          <w:p w:rsidR="001462FF" w:rsidRDefault="001462FF" w:rsidP="001462FF">
            <w:pPr>
              <w:tabs>
                <w:tab w:val="left" w:pos="1818"/>
              </w:tabs>
              <w:rPr>
                <w:rFonts w:ascii="Arial" w:eastAsia="ヒラギノ角ゴ Pro W3" w:hAnsi="Arial" w:cs="Arial"/>
                <w:lang w:val="es-ES"/>
              </w:rPr>
            </w:pPr>
          </w:p>
          <w:p w:rsidR="001462FF" w:rsidRDefault="001462FF" w:rsidP="001462FF">
            <w:pPr>
              <w:tabs>
                <w:tab w:val="left" w:pos="1818"/>
              </w:tabs>
              <w:rPr>
                <w:rFonts w:ascii="Arial" w:eastAsia="ヒラギノ角ゴ Pro W3" w:hAnsi="Arial" w:cs="Arial"/>
                <w:lang w:val="es-ES"/>
              </w:rPr>
            </w:pPr>
          </w:p>
          <w:p w:rsidR="001462FF" w:rsidRDefault="001462FF" w:rsidP="001462FF">
            <w:pPr>
              <w:tabs>
                <w:tab w:val="left" w:pos="1818"/>
              </w:tabs>
              <w:rPr>
                <w:rFonts w:ascii="Arial" w:eastAsia="ヒラギノ角ゴ Pro W3" w:hAnsi="Arial" w:cs="Arial"/>
                <w:lang w:val="es-ES"/>
              </w:rPr>
            </w:pPr>
          </w:p>
          <w:p w:rsidR="001462FF" w:rsidRPr="001462FF" w:rsidRDefault="001462FF" w:rsidP="001462FF">
            <w:pPr>
              <w:tabs>
                <w:tab w:val="left" w:pos="1818"/>
              </w:tabs>
              <w:rPr>
                <w:rFonts w:ascii="Arial" w:eastAsia="ヒラギノ角ゴ Pro W3" w:hAnsi="Arial" w:cs="Arial"/>
                <w:lang w:val="es-ES"/>
              </w:rPr>
            </w:pPr>
          </w:p>
        </w:tc>
      </w:tr>
      <w:tr w:rsidR="00A5547B" w:rsidRPr="002D3C93" w:rsidTr="001462FF">
        <w:trPr>
          <w:trHeight w:val="434"/>
        </w:trPr>
        <w:tc>
          <w:tcPr>
            <w:tcW w:w="9645" w:type="dxa"/>
            <w:gridSpan w:val="4"/>
            <w:tcBorders>
              <w:top w:val="single" w:sz="16" w:space="0" w:color="000000"/>
              <w:left w:val="single" w:sz="32" w:space="0" w:color="000000"/>
              <w:bottom w:val="single" w:sz="16" w:space="0" w:color="000000"/>
              <w:right w:val="single" w:sz="32" w:space="0" w:color="000000"/>
            </w:tcBorders>
            <w:shd w:val="clear" w:color="auto" w:fill="ECDF00"/>
            <w:tcMar>
              <w:top w:w="100" w:type="dxa"/>
              <w:left w:w="100" w:type="dxa"/>
              <w:bottom w:w="100" w:type="dxa"/>
              <w:right w:w="100" w:type="dxa"/>
            </w:tcMar>
          </w:tcPr>
          <w:p w:rsidR="00A5547B" w:rsidRPr="002D3C93" w:rsidRDefault="00A5547B" w:rsidP="001462F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jc w:val="center"/>
              <w:rPr>
                <w:rFonts w:ascii="Arial" w:eastAsia="ヒラギノ角ゴ Pro W3" w:hAnsi="Arial" w:cs="Arial"/>
                <w:b/>
                <w:bCs/>
                <w:lang w:val="es-ES"/>
              </w:rPr>
            </w:pPr>
            <w:r w:rsidRPr="002D3C93">
              <w:rPr>
                <w:rFonts w:ascii="Arial" w:eastAsia="ヒラギノ角ゴ Pro W3" w:hAnsi="Arial" w:cs="Arial"/>
                <w:b/>
                <w:bCs/>
                <w:lang w:val="es-ES"/>
              </w:rPr>
              <w:t>OPORTUNIDAD DE LA PROPUESTA</w:t>
            </w:r>
          </w:p>
        </w:tc>
      </w:tr>
      <w:tr w:rsidR="00A5547B" w:rsidRPr="002D3C93" w:rsidTr="001211F8">
        <w:trPr>
          <w:trHeight w:hRule="exact" w:val="3259"/>
        </w:trPr>
        <w:tc>
          <w:tcPr>
            <w:tcW w:w="2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A5547B" w:rsidRPr="002D3C93" w:rsidRDefault="00A5547B" w:rsidP="001462F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2D3C93">
              <w:rPr>
                <w:rFonts w:ascii="Arial" w:eastAsia="ヒラギノ角ゴ Pro W3" w:hAnsi="Arial" w:cs="Arial"/>
                <w:b/>
                <w:bCs/>
                <w:lang w:val="es-ES"/>
              </w:rPr>
              <w:t>Situación que se regula</w:t>
            </w:r>
          </w:p>
        </w:tc>
        <w:tc>
          <w:tcPr>
            <w:tcW w:w="7558" w:type="dxa"/>
            <w:gridSpan w:val="3"/>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5635AE" w:rsidRDefault="005635AE" w:rsidP="001462FF">
            <w:pPr>
              <w:pStyle w:val="capitulonum"/>
              <w:spacing w:before="0" w:beforeAutospacing="0" w:after="0" w:afterAutospacing="0"/>
              <w:ind w:right="249"/>
              <w:jc w:val="both"/>
              <w:rPr>
                <w:rFonts w:ascii="Arial" w:hAnsi="Arial" w:cs="Arial"/>
                <w:sz w:val="20"/>
                <w:szCs w:val="20"/>
              </w:rPr>
            </w:pPr>
          </w:p>
          <w:p w:rsidR="00A5547B" w:rsidRDefault="001462FF" w:rsidP="001462FF">
            <w:pPr>
              <w:pStyle w:val="capitulonum"/>
              <w:spacing w:before="0" w:beforeAutospacing="0" w:after="0" w:afterAutospacing="0"/>
              <w:ind w:right="249"/>
              <w:jc w:val="both"/>
              <w:rPr>
                <w:rFonts w:ascii="Arial" w:hAnsi="Arial" w:cs="Arial"/>
                <w:sz w:val="20"/>
                <w:szCs w:val="20"/>
              </w:rPr>
            </w:pPr>
            <w:r>
              <w:rPr>
                <w:rFonts w:ascii="Arial" w:hAnsi="Arial" w:cs="Arial"/>
                <w:sz w:val="20"/>
                <w:szCs w:val="20"/>
              </w:rPr>
              <w:t xml:space="preserve">Se modifica el </w:t>
            </w:r>
            <w:r w:rsidRPr="001462FF">
              <w:rPr>
                <w:rFonts w:ascii="Arial" w:hAnsi="Arial" w:cs="Arial"/>
                <w:sz w:val="20"/>
                <w:szCs w:val="20"/>
              </w:rPr>
              <w:t>Real Decreto 78/2019, de 22 de febrero, por el que se aprueba el Reglamento que desarrolla la Ley 49/1999, de 20 de diciembre, sobre medidas de control de sustancias químicas susceptibles de desvío para la fabricación de armas químicas</w:t>
            </w:r>
            <w:r w:rsidR="00A5547B" w:rsidRPr="002D3C93">
              <w:rPr>
                <w:rFonts w:ascii="Arial" w:hAnsi="Arial" w:cs="Arial"/>
                <w:sz w:val="20"/>
                <w:szCs w:val="20"/>
              </w:rPr>
              <w:t>, para</w:t>
            </w:r>
            <w:r w:rsidR="00B04AB6">
              <w:rPr>
                <w:rFonts w:ascii="Arial" w:hAnsi="Arial" w:cs="Arial"/>
                <w:sz w:val="20"/>
                <w:szCs w:val="20"/>
              </w:rPr>
              <w:t xml:space="preserve"> la</w:t>
            </w:r>
            <w:r w:rsidR="00A5547B" w:rsidRPr="002D3C93">
              <w:rPr>
                <w:rFonts w:ascii="Arial" w:hAnsi="Arial" w:cs="Arial"/>
                <w:sz w:val="20"/>
                <w:szCs w:val="20"/>
              </w:rPr>
              <w:t>:</w:t>
            </w:r>
          </w:p>
          <w:p w:rsidR="000D2AA1" w:rsidRPr="002D3C93" w:rsidRDefault="000D2AA1" w:rsidP="001462FF">
            <w:pPr>
              <w:pStyle w:val="capitulonum"/>
              <w:spacing w:before="0" w:beforeAutospacing="0" w:after="0" w:afterAutospacing="0"/>
              <w:ind w:right="249"/>
              <w:jc w:val="both"/>
              <w:rPr>
                <w:rFonts w:ascii="Arial" w:hAnsi="Arial" w:cs="Arial"/>
                <w:sz w:val="20"/>
                <w:szCs w:val="20"/>
              </w:rPr>
            </w:pPr>
          </w:p>
          <w:p w:rsidR="001462FF" w:rsidRDefault="001462FF" w:rsidP="001462FF">
            <w:pPr>
              <w:pStyle w:val="capitulonum"/>
              <w:numPr>
                <w:ilvl w:val="0"/>
                <w:numId w:val="22"/>
              </w:numPr>
              <w:spacing w:before="0" w:beforeAutospacing="0" w:after="0" w:afterAutospacing="0"/>
              <w:ind w:right="249"/>
              <w:jc w:val="both"/>
              <w:rPr>
                <w:rFonts w:ascii="Arial" w:hAnsi="Arial" w:cs="Arial"/>
                <w:sz w:val="20"/>
                <w:szCs w:val="20"/>
              </w:rPr>
            </w:pPr>
            <w:r w:rsidRPr="002D3C93">
              <w:rPr>
                <w:rFonts w:ascii="Arial" w:hAnsi="Arial" w:cs="Arial"/>
                <w:sz w:val="20"/>
                <w:szCs w:val="20"/>
              </w:rPr>
              <w:t>Modif</w:t>
            </w:r>
            <w:r>
              <w:rPr>
                <w:rFonts w:ascii="Arial" w:hAnsi="Arial" w:cs="Arial"/>
                <w:sz w:val="20"/>
                <w:szCs w:val="20"/>
              </w:rPr>
              <w:t xml:space="preserve">icación del Anexo I, para </w:t>
            </w:r>
            <w:r w:rsidR="00325142">
              <w:rPr>
                <w:rFonts w:ascii="Arial" w:hAnsi="Arial" w:cs="Arial"/>
                <w:sz w:val="20"/>
                <w:szCs w:val="20"/>
              </w:rPr>
              <w:t>actualizar las sustancias químicas de la</w:t>
            </w:r>
            <w:r>
              <w:rPr>
                <w:rFonts w:ascii="Arial" w:hAnsi="Arial" w:cs="Arial"/>
                <w:sz w:val="20"/>
                <w:szCs w:val="20"/>
              </w:rPr>
              <w:t xml:space="preserve"> Lista 1</w:t>
            </w:r>
          </w:p>
          <w:p w:rsidR="00A5547B" w:rsidRPr="002D3C93" w:rsidRDefault="00A5547B" w:rsidP="001462FF">
            <w:pPr>
              <w:pStyle w:val="capitulonum"/>
              <w:numPr>
                <w:ilvl w:val="0"/>
                <w:numId w:val="22"/>
              </w:numPr>
              <w:spacing w:before="0" w:beforeAutospacing="0" w:after="0" w:afterAutospacing="0"/>
              <w:ind w:right="249"/>
              <w:jc w:val="both"/>
              <w:rPr>
                <w:rFonts w:ascii="Arial" w:hAnsi="Arial" w:cs="Arial"/>
                <w:sz w:val="20"/>
                <w:szCs w:val="20"/>
              </w:rPr>
            </w:pPr>
            <w:r w:rsidRPr="002D3C93">
              <w:rPr>
                <w:rFonts w:ascii="Arial" w:hAnsi="Arial" w:cs="Arial"/>
                <w:sz w:val="20"/>
                <w:szCs w:val="20"/>
              </w:rPr>
              <w:t>Modificación de los siguientes anexos en aras a una mejor aplicabilidad, así como corregir errores detectados:</w:t>
            </w:r>
          </w:p>
          <w:p w:rsidR="00A5547B" w:rsidRPr="002D3C93" w:rsidRDefault="001462FF" w:rsidP="001462FF">
            <w:pPr>
              <w:pStyle w:val="capitulonum"/>
              <w:numPr>
                <w:ilvl w:val="1"/>
                <w:numId w:val="22"/>
              </w:numPr>
              <w:spacing w:before="0" w:beforeAutospacing="0" w:after="0" w:afterAutospacing="0"/>
              <w:ind w:right="249"/>
              <w:jc w:val="both"/>
              <w:rPr>
                <w:rFonts w:ascii="Arial" w:hAnsi="Arial" w:cs="Arial"/>
                <w:sz w:val="20"/>
                <w:szCs w:val="20"/>
              </w:rPr>
            </w:pPr>
            <w:r>
              <w:rPr>
                <w:rFonts w:ascii="Arial" w:hAnsi="Arial" w:cs="Arial"/>
                <w:sz w:val="20"/>
                <w:szCs w:val="20"/>
              </w:rPr>
              <w:t>Anexo II</w:t>
            </w:r>
            <w:r w:rsidR="00A5547B" w:rsidRPr="002D3C93">
              <w:rPr>
                <w:rFonts w:ascii="Arial" w:hAnsi="Arial" w:cs="Arial"/>
                <w:sz w:val="20"/>
                <w:szCs w:val="20"/>
              </w:rPr>
              <w:t xml:space="preserve">. </w:t>
            </w:r>
            <w:r>
              <w:rPr>
                <w:rFonts w:ascii="Arial" w:hAnsi="Arial" w:cs="Arial"/>
                <w:sz w:val="20"/>
                <w:szCs w:val="20"/>
              </w:rPr>
              <w:t>Formularios de declaración de actividades realizadas</w:t>
            </w:r>
          </w:p>
          <w:p w:rsidR="001462FF" w:rsidRPr="002D3C93" w:rsidRDefault="001462FF" w:rsidP="001462FF">
            <w:pPr>
              <w:pStyle w:val="capitulonum"/>
              <w:numPr>
                <w:ilvl w:val="1"/>
                <w:numId w:val="22"/>
              </w:numPr>
              <w:spacing w:before="0" w:beforeAutospacing="0" w:after="0" w:afterAutospacing="0"/>
              <w:ind w:right="249"/>
              <w:jc w:val="both"/>
              <w:rPr>
                <w:rFonts w:ascii="Arial" w:hAnsi="Arial" w:cs="Arial"/>
                <w:sz w:val="20"/>
                <w:szCs w:val="20"/>
              </w:rPr>
            </w:pPr>
            <w:r>
              <w:rPr>
                <w:rFonts w:ascii="Arial" w:hAnsi="Arial" w:cs="Arial"/>
                <w:sz w:val="20"/>
                <w:szCs w:val="20"/>
              </w:rPr>
              <w:t>Anexo III</w:t>
            </w:r>
            <w:r w:rsidRPr="002D3C93">
              <w:rPr>
                <w:rFonts w:ascii="Arial" w:hAnsi="Arial" w:cs="Arial"/>
                <w:sz w:val="20"/>
                <w:szCs w:val="20"/>
              </w:rPr>
              <w:t xml:space="preserve">. </w:t>
            </w:r>
            <w:r>
              <w:rPr>
                <w:rFonts w:ascii="Arial" w:hAnsi="Arial" w:cs="Arial"/>
                <w:sz w:val="20"/>
                <w:szCs w:val="20"/>
              </w:rPr>
              <w:t>Formularios de declaración de actividades previstas</w:t>
            </w:r>
          </w:p>
          <w:p w:rsidR="00EF1193" w:rsidRDefault="00EF1193" w:rsidP="001462FF">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EF1193" w:rsidRPr="00EF1193" w:rsidRDefault="00EF1193" w:rsidP="00EF1193">
            <w:pPr>
              <w:rPr>
                <w:lang w:val="es-ES"/>
              </w:rPr>
            </w:pPr>
          </w:p>
          <w:p w:rsidR="00A5547B" w:rsidRPr="00EF1193" w:rsidRDefault="00A5547B" w:rsidP="00EF1193">
            <w:pPr>
              <w:rPr>
                <w:lang w:val="es-ES"/>
              </w:rPr>
            </w:pPr>
          </w:p>
        </w:tc>
      </w:tr>
      <w:tr w:rsidR="00A5547B" w:rsidRPr="002D3C93" w:rsidTr="001462FF">
        <w:trPr>
          <w:trHeight w:val="581"/>
        </w:trPr>
        <w:tc>
          <w:tcPr>
            <w:tcW w:w="2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A5547B" w:rsidRPr="002D3C93" w:rsidRDefault="00A5547B" w:rsidP="001462F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2D3C93">
              <w:rPr>
                <w:rFonts w:ascii="Arial" w:eastAsia="ヒラギノ角ゴ Pro W3" w:hAnsi="Arial" w:cs="Arial"/>
                <w:b/>
                <w:bCs/>
                <w:lang w:val="es-ES"/>
              </w:rPr>
              <w:lastRenderedPageBreak/>
              <w:t>Objetivos que se persiguen</w:t>
            </w:r>
          </w:p>
        </w:tc>
        <w:tc>
          <w:tcPr>
            <w:tcW w:w="7558" w:type="dxa"/>
            <w:gridSpan w:val="3"/>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vAlign w:val="center"/>
          </w:tcPr>
          <w:p w:rsidR="007A7884" w:rsidRDefault="00EF1193" w:rsidP="00EF1193">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jc w:val="both"/>
              <w:rPr>
                <w:rFonts w:ascii="Arial" w:eastAsia="ヒラギノ角ゴ Pro W3" w:hAnsi="Arial" w:cs="Arial"/>
                <w:lang w:val="es-ES"/>
              </w:rPr>
            </w:pPr>
            <w:r>
              <w:rPr>
                <w:rFonts w:ascii="Arial" w:eastAsia="ヒラギノ角ゴ Pro W3" w:hAnsi="Arial" w:cs="Arial"/>
                <w:lang w:val="es-ES"/>
              </w:rPr>
              <w:t xml:space="preserve">En primer lugar, </w:t>
            </w:r>
            <w:r w:rsidR="007A7884">
              <w:rPr>
                <w:rFonts w:ascii="Arial" w:eastAsia="ヒラギノ角ゴ Pro W3" w:hAnsi="Arial" w:cs="Arial"/>
                <w:lang w:val="es-ES"/>
              </w:rPr>
              <w:t xml:space="preserve">la aplicación completa en España de la </w:t>
            </w:r>
            <w:r w:rsidR="007A7884" w:rsidRPr="007A7884">
              <w:rPr>
                <w:rFonts w:ascii="Arial" w:eastAsia="ヒラギノ角ゴ Pro W3" w:hAnsi="Arial" w:cs="Arial"/>
                <w:lang w:val="es-ES"/>
              </w:rPr>
              <w:t xml:space="preserve">Convención para la Prohibición de las Armas Químicas </w:t>
            </w:r>
            <w:r w:rsidR="007A7884" w:rsidRPr="00A660BA">
              <w:rPr>
                <w:rFonts w:ascii="Arial" w:eastAsia="ヒラギノ角ゴ Pro W3" w:hAnsi="Arial" w:cs="Arial"/>
                <w:sz w:val="16"/>
                <w:szCs w:val="16"/>
                <w:lang w:val="es-ES"/>
              </w:rPr>
              <w:t>(en adelante, la Convención)</w:t>
            </w:r>
            <w:r w:rsidR="007A7884">
              <w:rPr>
                <w:rFonts w:ascii="Arial" w:eastAsia="ヒラギノ角ゴ Pro W3" w:hAnsi="Arial" w:cs="Arial"/>
                <w:lang w:val="es-ES"/>
              </w:rPr>
              <w:t xml:space="preserve">, cuyo Anexo de sustancias listadas ha sido modificada por la Organización para la Prohibición de las Armas Químicas </w:t>
            </w:r>
            <w:r w:rsidR="007A7884" w:rsidRPr="00A660BA">
              <w:rPr>
                <w:rFonts w:ascii="Arial" w:eastAsia="ヒラギノ角ゴ Pro W3" w:hAnsi="Arial" w:cs="Arial"/>
                <w:sz w:val="16"/>
                <w:szCs w:val="16"/>
                <w:lang w:val="es-ES"/>
              </w:rPr>
              <w:t>(en adelante, OPAQ)</w:t>
            </w:r>
            <w:r w:rsidR="007A7884">
              <w:rPr>
                <w:rFonts w:ascii="Arial" w:eastAsia="ヒラギノ角ゴ Pro W3" w:hAnsi="Arial" w:cs="Arial"/>
                <w:lang w:val="es-ES"/>
              </w:rPr>
              <w:t xml:space="preserve">. </w:t>
            </w:r>
          </w:p>
          <w:p w:rsidR="00A5547B" w:rsidRDefault="007A7884" w:rsidP="007A788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jc w:val="both"/>
              <w:rPr>
                <w:rFonts w:ascii="Arial" w:eastAsia="ヒラギノ角ゴ Pro W3" w:hAnsi="Arial" w:cs="Arial"/>
                <w:lang w:val="es-ES"/>
              </w:rPr>
            </w:pPr>
            <w:r>
              <w:rPr>
                <w:rFonts w:ascii="Arial" w:eastAsia="ヒラギノ角ゴ Pro W3" w:hAnsi="Arial" w:cs="Arial"/>
                <w:lang w:val="es-ES"/>
              </w:rPr>
              <w:t xml:space="preserve">Para la completa aplicación de la Convención en España, es necesario </w:t>
            </w:r>
            <w:r w:rsidR="00EF1193">
              <w:rPr>
                <w:rFonts w:ascii="Arial" w:eastAsia="ヒラギノ角ゴ Pro W3" w:hAnsi="Arial" w:cs="Arial"/>
                <w:lang w:val="es-ES"/>
              </w:rPr>
              <w:t>actualizar las sustancias de</w:t>
            </w:r>
            <w:r>
              <w:rPr>
                <w:rFonts w:ascii="Arial" w:eastAsia="ヒラギノ角ゴ Pro W3" w:hAnsi="Arial" w:cs="Arial"/>
                <w:lang w:val="es-ES"/>
              </w:rPr>
              <w:t xml:space="preserve"> la</w:t>
            </w:r>
            <w:r w:rsidR="00B04AB6">
              <w:rPr>
                <w:rFonts w:ascii="Arial" w:eastAsia="ヒラギノ角ゴ Pro W3" w:hAnsi="Arial" w:cs="Arial"/>
                <w:lang w:val="es-ES"/>
              </w:rPr>
              <w:t xml:space="preserve"> Lista 1 sometidas a control </w:t>
            </w:r>
            <w:r w:rsidR="00EF1193">
              <w:rPr>
                <w:rFonts w:ascii="Arial" w:eastAsia="ヒラギノ角ゴ Pro W3" w:hAnsi="Arial" w:cs="Arial"/>
                <w:lang w:val="es-ES"/>
              </w:rPr>
              <w:t>recogidas</w:t>
            </w:r>
            <w:r w:rsidR="00B04AB6">
              <w:rPr>
                <w:rFonts w:ascii="Arial" w:eastAsia="ヒラギノ角ゴ Pro W3" w:hAnsi="Arial" w:cs="Arial"/>
                <w:lang w:val="es-ES"/>
              </w:rPr>
              <w:t xml:space="preserve"> en el Anexo I del Real Decreto</w:t>
            </w:r>
            <w:r>
              <w:rPr>
                <w:rFonts w:ascii="Arial" w:eastAsia="ヒラギノ角ゴ Pro W3" w:hAnsi="Arial" w:cs="Arial"/>
                <w:lang w:val="es-ES"/>
              </w:rPr>
              <w:t>, de acuerdo con la citada modificación</w:t>
            </w:r>
            <w:r w:rsidR="00B04AB6">
              <w:rPr>
                <w:rFonts w:ascii="Arial" w:eastAsia="ヒラギノ角ゴ Pro W3" w:hAnsi="Arial" w:cs="Arial"/>
                <w:lang w:val="es-ES"/>
              </w:rPr>
              <w:t xml:space="preserve">. Con ello, se introducen en el marco jurídico nacional </w:t>
            </w:r>
            <w:r w:rsidR="00B04AB6" w:rsidRPr="001211F8">
              <w:rPr>
                <w:rFonts w:ascii="Arial" w:eastAsia="ヒラギノ角ゴ Pro W3" w:hAnsi="Arial" w:cs="Arial"/>
                <w:lang w:val="es-ES"/>
              </w:rPr>
              <w:t>las deci</w:t>
            </w:r>
            <w:r w:rsidR="00B04AB6">
              <w:rPr>
                <w:rFonts w:ascii="Arial" w:eastAsia="ヒラギノ角ゴ Pro W3" w:hAnsi="Arial" w:cs="Arial"/>
                <w:lang w:val="es-ES"/>
              </w:rPr>
              <w:t xml:space="preserve">siones C-24/DEC.4 y C-24/DEC.5 de 27 de noviembre de 2019 adoptadas por </w:t>
            </w:r>
            <w:r w:rsidR="001211F8">
              <w:rPr>
                <w:rFonts w:ascii="Arial" w:eastAsia="ヒラギノ角ゴ Pro W3" w:hAnsi="Arial" w:cs="Arial"/>
                <w:lang w:val="es-ES"/>
              </w:rPr>
              <w:t>l</w:t>
            </w:r>
            <w:r w:rsidR="001211F8" w:rsidRPr="001211F8">
              <w:rPr>
                <w:rFonts w:ascii="Arial" w:eastAsia="ヒラギノ角ゴ Pro W3" w:hAnsi="Arial" w:cs="Arial"/>
                <w:lang w:val="es-ES"/>
              </w:rPr>
              <w:t xml:space="preserve">a Conferencia de </w:t>
            </w:r>
            <w:r w:rsidR="001211F8">
              <w:rPr>
                <w:rFonts w:ascii="Arial" w:eastAsia="ヒラギノ角ゴ Pro W3" w:hAnsi="Arial" w:cs="Arial"/>
                <w:lang w:val="es-ES"/>
              </w:rPr>
              <w:t xml:space="preserve">los Estados Parte de la </w:t>
            </w:r>
            <w:r>
              <w:rPr>
                <w:rFonts w:ascii="Arial" w:eastAsia="ヒラギノ角ゴ Pro W3" w:hAnsi="Arial" w:cs="Arial"/>
                <w:lang w:val="es-ES"/>
              </w:rPr>
              <w:t xml:space="preserve">OPAQ </w:t>
            </w:r>
            <w:r w:rsidR="00B04AB6">
              <w:rPr>
                <w:rFonts w:ascii="Arial" w:eastAsia="ヒラギノ角ゴ Pro W3" w:hAnsi="Arial" w:cs="Arial"/>
                <w:lang w:val="es-ES"/>
              </w:rPr>
              <w:t>en</w:t>
            </w:r>
            <w:r w:rsidR="001211F8" w:rsidRPr="001211F8">
              <w:rPr>
                <w:rFonts w:ascii="Arial" w:eastAsia="ヒラギノ角ゴ Pro W3" w:hAnsi="Arial" w:cs="Arial"/>
                <w:lang w:val="es-ES"/>
              </w:rPr>
              <w:t xml:space="preserve"> su</w:t>
            </w:r>
            <w:r w:rsidR="00B04AB6">
              <w:rPr>
                <w:rFonts w:ascii="Arial" w:eastAsia="ヒラギノ角ゴ Pro W3" w:hAnsi="Arial" w:cs="Arial"/>
                <w:lang w:val="es-ES"/>
              </w:rPr>
              <w:t xml:space="preserve"> Vigésima Cuarta Sesión.</w:t>
            </w:r>
          </w:p>
          <w:p w:rsidR="00EF1193" w:rsidRPr="002D3C93" w:rsidRDefault="00EF1193" w:rsidP="001211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jc w:val="both"/>
              <w:rPr>
                <w:rFonts w:ascii="Arial" w:hAnsi="Arial" w:cs="Arial"/>
                <w:lang w:val="es-ES"/>
              </w:rPr>
            </w:pPr>
            <w:r>
              <w:rPr>
                <w:rFonts w:ascii="Arial" w:eastAsia="ヒラギノ角ゴ Pro W3" w:hAnsi="Arial" w:cs="Arial"/>
                <w:lang w:val="es-ES"/>
              </w:rPr>
              <w:t xml:space="preserve">En segundo lugar, adaptar </w:t>
            </w:r>
            <w:r w:rsidR="00B04AB6">
              <w:rPr>
                <w:rFonts w:ascii="Arial" w:eastAsia="ヒラギノ角ゴ Pro W3" w:hAnsi="Arial" w:cs="Arial"/>
                <w:lang w:val="es-ES"/>
              </w:rPr>
              <w:t xml:space="preserve">los </w:t>
            </w:r>
            <w:r>
              <w:rPr>
                <w:rFonts w:ascii="Arial" w:eastAsia="ヒラギノ角ゴ Pro W3" w:hAnsi="Arial" w:cs="Arial"/>
                <w:lang w:val="es-ES"/>
              </w:rPr>
              <w:t xml:space="preserve">formularios de declaraciones anuales de actividades, para que respondan </w:t>
            </w:r>
            <w:r w:rsidR="001211F8">
              <w:rPr>
                <w:rFonts w:ascii="Arial" w:eastAsia="ヒラギノ角ゴ Pro W3" w:hAnsi="Arial" w:cs="Arial"/>
                <w:lang w:val="es-ES"/>
              </w:rPr>
              <w:t>de manera más clara a</w:t>
            </w:r>
            <w:r>
              <w:rPr>
                <w:rFonts w:ascii="Arial" w:eastAsia="ヒラギノ角ゴ Pro W3" w:hAnsi="Arial" w:cs="Arial"/>
                <w:lang w:val="es-ES"/>
              </w:rPr>
              <w:t xml:space="preserve"> las exigencias </w:t>
            </w:r>
            <w:r w:rsidR="001211F8">
              <w:rPr>
                <w:rFonts w:ascii="Arial" w:eastAsia="ヒラギノ角ゴ Pro W3" w:hAnsi="Arial" w:cs="Arial"/>
                <w:lang w:val="es-ES"/>
              </w:rPr>
              <w:t xml:space="preserve">de la Convención, y para corregir </w:t>
            </w:r>
            <w:r w:rsidR="00325142">
              <w:rPr>
                <w:rFonts w:ascii="Arial" w:eastAsia="ヒラギノ角ゴ Pro W3" w:hAnsi="Arial" w:cs="Arial"/>
                <w:lang w:val="es-ES"/>
              </w:rPr>
              <w:t xml:space="preserve">ambigüedades y </w:t>
            </w:r>
            <w:r w:rsidR="001211F8">
              <w:rPr>
                <w:rFonts w:ascii="Arial" w:eastAsia="ヒラギノ角ゴ Pro W3" w:hAnsi="Arial" w:cs="Arial"/>
                <w:lang w:val="es-ES"/>
              </w:rPr>
              <w:t>errores</w:t>
            </w:r>
            <w:r w:rsidR="00325142">
              <w:rPr>
                <w:rFonts w:ascii="Arial" w:eastAsia="ヒラギノ角ゴ Pro W3" w:hAnsi="Arial" w:cs="Arial"/>
                <w:lang w:val="es-ES"/>
              </w:rPr>
              <w:t xml:space="preserve"> detectados</w:t>
            </w:r>
            <w:r w:rsidR="001211F8">
              <w:rPr>
                <w:rFonts w:ascii="Arial" w:eastAsia="ヒラギノ角ゴ Pro W3" w:hAnsi="Arial" w:cs="Arial"/>
                <w:lang w:val="es-ES"/>
              </w:rPr>
              <w:t xml:space="preserve">. </w:t>
            </w:r>
          </w:p>
        </w:tc>
      </w:tr>
      <w:tr w:rsidR="00A5547B" w:rsidRPr="002D3C93" w:rsidTr="00A660BA">
        <w:trPr>
          <w:cantSplit/>
          <w:trHeight w:hRule="exact" w:val="4211"/>
        </w:trPr>
        <w:tc>
          <w:tcPr>
            <w:tcW w:w="2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vAlign w:val="center"/>
          </w:tcPr>
          <w:p w:rsidR="00A5547B" w:rsidRPr="002D3C93" w:rsidRDefault="00A5547B" w:rsidP="001462F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2D3C93">
              <w:rPr>
                <w:rFonts w:ascii="Arial" w:eastAsia="ヒラギノ角ゴ Pro W3" w:hAnsi="Arial" w:cs="Arial"/>
                <w:b/>
                <w:bCs/>
                <w:lang w:val="es-ES"/>
              </w:rPr>
              <w:t>Principales alternativas consideradas</w:t>
            </w:r>
          </w:p>
        </w:tc>
        <w:tc>
          <w:tcPr>
            <w:tcW w:w="7558" w:type="dxa"/>
            <w:gridSpan w:val="3"/>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vAlign w:val="center"/>
          </w:tcPr>
          <w:p w:rsidR="001211F8" w:rsidRPr="00A660BA" w:rsidRDefault="00A660BA" w:rsidP="0041506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60" w:lineRule="auto"/>
              <w:jc w:val="both"/>
              <w:rPr>
                <w:rFonts w:ascii="Arial" w:eastAsia="ヒラギノ角ゴ Pro W3" w:hAnsi="Arial" w:cs="Arial"/>
                <w:lang w:val="es-ES"/>
              </w:rPr>
            </w:pPr>
            <w:r>
              <w:rPr>
                <w:rFonts w:ascii="Arial" w:eastAsia="ヒラギノ角ゴ Pro W3" w:hAnsi="Arial" w:cs="Arial"/>
                <w:lang w:val="es-ES"/>
              </w:rPr>
              <w:t>Por un lado, l</w:t>
            </w:r>
            <w:r w:rsidR="001211F8" w:rsidRPr="00A660BA">
              <w:rPr>
                <w:rFonts w:ascii="Arial" w:eastAsia="ヒラギノ角ゴ Pro W3" w:hAnsi="Arial" w:cs="Arial"/>
                <w:lang w:val="es-ES"/>
              </w:rPr>
              <w:t>a no</w:t>
            </w:r>
            <w:r w:rsidR="001211F8" w:rsidRPr="00415065">
              <w:rPr>
                <w:rFonts w:ascii="Arial" w:eastAsia="ヒラギノ角ゴ Pro W3" w:hAnsi="Arial" w:cs="Arial"/>
                <w:lang w:val="es-ES"/>
              </w:rPr>
              <w:t xml:space="preserve"> </w:t>
            </w:r>
            <w:r w:rsidR="00B04AB6">
              <w:rPr>
                <w:rFonts w:ascii="Arial" w:eastAsia="ヒラギノ角ゴ Pro W3" w:hAnsi="Arial" w:cs="Arial"/>
                <w:lang w:val="es-ES"/>
              </w:rPr>
              <w:t>entrada en vigor explícitamente</w:t>
            </w:r>
            <w:r w:rsidR="001211F8" w:rsidRPr="00A660BA">
              <w:rPr>
                <w:rFonts w:ascii="Arial" w:eastAsia="ヒラギノ角ゴ Pro W3" w:hAnsi="Arial" w:cs="Arial"/>
                <w:lang w:val="es-ES"/>
              </w:rPr>
              <w:t xml:space="preserve"> </w:t>
            </w:r>
            <w:r w:rsidRPr="00A660BA">
              <w:rPr>
                <w:rFonts w:ascii="Arial" w:eastAsia="ヒラギノ角ゴ Pro W3" w:hAnsi="Arial" w:cs="Arial"/>
                <w:lang w:val="es-ES"/>
              </w:rPr>
              <w:t xml:space="preserve">de los cambios realizados por la OPAQ a la Convención, en su Anexo sobre sustancias químicas. Por tanto, la aplicación incompleta de la Convención. </w:t>
            </w:r>
          </w:p>
          <w:p w:rsidR="00A5547B" w:rsidRPr="00A660BA" w:rsidRDefault="00A660BA" w:rsidP="0041506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60" w:lineRule="auto"/>
              <w:jc w:val="both"/>
              <w:rPr>
                <w:rFonts w:ascii="Arial" w:eastAsia="ヒラギノ角ゴ Pro W3" w:hAnsi="Arial" w:cs="Arial"/>
                <w:lang w:val="es-ES"/>
              </w:rPr>
            </w:pPr>
            <w:r>
              <w:rPr>
                <w:rFonts w:ascii="Arial" w:eastAsia="ヒラギノ角ゴ Pro W3" w:hAnsi="Arial" w:cs="Arial"/>
                <w:lang w:val="es-ES"/>
              </w:rPr>
              <w:t>En segundo lugar, l</w:t>
            </w:r>
            <w:r w:rsidR="00A5547B" w:rsidRPr="00A660BA">
              <w:rPr>
                <w:rFonts w:ascii="Arial" w:eastAsia="ヒラギノ角ゴ Pro W3" w:hAnsi="Arial" w:cs="Arial"/>
                <w:lang w:val="es-ES"/>
              </w:rPr>
              <w:t xml:space="preserve">a no modificación y por tanto la no adaptación </w:t>
            </w:r>
            <w:r>
              <w:rPr>
                <w:rFonts w:ascii="Arial" w:eastAsia="ヒラギノ角ゴ Pro W3" w:hAnsi="Arial" w:cs="Arial"/>
                <w:lang w:val="es-ES"/>
              </w:rPr>
              <w:t>del Real Decreto para una mejor aplicabilidad, así como</w:t>
            </w:r>
            <w:r w:rsidR="00A5547B" w:rsidRPr="00A660BA">
              <w:rPr>
                <w:rFonts w:ascii="Arial" w:eastAsia="ヒラギノ角ゴ Pro W3" w:hAnsi="Arial" w:cs="Arial"/>
                <w:lang w:val="es-ES"/>
              </w:rPr>
              <w:t xml:space="preserve"> la no subsanación de errores</w:t>
            </w:r>
            <w:r>
              <w:rPr>
                <w:rFonts w:ascii="Arial" w:eastAsia="ヒラギノ角ゴ Pro W3" w:hAnsi="Arial" w:cs="Arial"/>
                <w:lang w:val="es-ES"/>
              </w:rPr>
              <w:t>. Por tanto, la declaración de actividades por parte de los sujetos obligados con imprecisiones y errores, que a su vez tienen un impacto en el resultado de eventuales inspecciones físicas.</w:t>
            </w:r>
          </w:p>
        </w:tc>
      </w:tr>
    </w:tbl>
    <w:p w:rsidR="00A5547B" w:rsidRDefault="001462FF" w:rsidP="00A5547B">
      <w:pPr>
        <w:rPr>
          <w:rFonts w:ascii="Arial" w:hAnsi="Arial" w:cs="Arial"/>
          <w:lang w:val="es-ES"/>
        </w:rPr>
      </w:pPr>
      <w:r>
        <w:rPr>
          <w:rFonts w:ascii="Arial" w:hAnsi="Arial" w:cs="Arial"/>
          <w:lang w:val="es-ES"/>
        </w:rPr>
        <w:br w:type="textWrapping" w:clear="all"/>
      </w: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Default="00A660BA" w:rsidP="00A5547B">
      <w:pPr>
        <w:rPr>
          <w:rFonts w:ascii="Arial" w:hAnsi="Arial" w:cs="Arial"/>
          <w:lang w:val="es-ES"/>
        </w:rPr>
      </w:pPr>
    </w:p>
    <w:p w:rsidR="00A660BA" w:rsidRPr="00D74226" w:rsidRDefault="00A660BA" w:rsidP="00A5547B">
      <w:pPr>
        <w:rPr>
          <w:rFonts w:ascii="Arial" w:hAnsi="Arial" w:cs="Arial"/>
          <w:lang w:val="es-ES"/>
        </w:rPr>
      </w:pPr>
    </w:p>
    <w:tbl>
      <w:tblPr>
        <w:tblW w:w="9599" w:type="dxa"/>
        <w:jc w:val="center"/>
        <w:tblLayout w:type="fixed"/>
        <w:tblLook w:val="0000" w:firstRow="0" w:lastRow="0" w:firstColumn="0" w:lastColumn="0" w:noHBand="0" w:noVBand="0"/>
      </w:tblPr>
      <w:tblGrid>
        <w:gridCol w:w="2044"/>
        <w:gridCol w:w="7555"/>
      </w:tblGrid>
      <w:tr w:rsidR="00A5547B" w:rsidRPr="002D3C93" w:rsidTr="00C0148A">
        <w:trPr>
          <w:cantSplit/>
          <w:trHeight w:val="322"/>
          <w:jc w:val="center"/>
        </w:trPr>
        <w:tc>
          <w:tcPr>
            <w:tcW w:w="9599" w:type="dxa"/>
            <w:gridSpan w:val="2"/>
            <w:tcBorders>
              <w:top w:val="single" w:sz="16" w:space="0" w:color="000000"/>
              <w:left w:val="single" w:sz="32" w:space="0" w:color="000000"/>
              <w:bottom w:val="single" w:sz="16" w:space="0" w:color="000000"/>
              <w:right w:val="single" w:sz="32" w:space="0" w:color="000000"/>
            </w:tcBorders>
            <w:shd w:val="clear" w:color="auto" w:fill="EFE100"/>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jc w:val="center"/>
              <w:rPr>
                <w:rFonts w:ascii="Arial" w:eastAsia="ヒラギノ角ゴ Pro W3" w:hAnsi="Arial" w:cs="Arial"/>
                <w:b/>
                <w:bCs/>
                <w:lang w:val="es-ES"/>
              </w:rPr>
            </w:pPr>
            <w:r w:rsidRPr="002D3C93">
              <w:rPr>
                <w:rFonts w:ascii="Arial" w:eastAsia="ヒラギノ角ゴ Pro W3" w:hAnsi="Arial" w:cs="Arial"/>
                <w:b/>
                <w:bCs/>
                <w:lang w:val="es-ES"/>
              </w:rPr>
              <w:t>CONTENIDO Y ANÁLISIS JURÍDICO</w:t>
            </w:r>
          </w:p>
        </w:tc>
      </w:tr>
      <w:tr w:rsidR="00A5547B" w:rsidRPr="002D3C93" w:rsidTr="00C0148A">
        <w:trPr>
          <w:cantSplit/>
          <w:trHeight w:hRule="exact" w:val="567"/>
          <w:jc w:val="center"/>
        </w:trPr>
        <w:tc>
          <w:tcPr>
            <w:tcW w:w="204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2D3C93">
              <w:rPr>
                <w:rFonts w:ascii="Arial" w:eastAsia="ヒラギノ角ゴ Pro W3" w:hAnsi="Arial" w:cs="Arial"/>
                <w:b/>
                <w:bCs/>
                <w:lang w:val="es-ES"/>
              </w:rPr>
              <w:t>Tipo de norma</w:t>
            </w:r>
          </w:p>
        </w:tc>
        <w:tc>
          <w:tcPr>
            <w:tcW w:w="7555" w:type="dxa"/>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A5547B" w:rsidRPr="002D3C93" w:rsidRDefault="00A5547B" w:rsidP="0032514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rPr>
                <w:rFonts w:ascii="Arial" w:eastAsia="ヒラギノ角ゴ Pro W3" w:hAnsi="Arial" w:cs="Arial"/>
                <w:lang w:val="es-ES"/>
              </w:rPr>
            </w:pPr>
            <w:r w:rsidRPr="002D3C93">
              <w:rPr>
                <w:rFonts w:ascii="Arial" w:eastAsia="ヒラギノ角ゴ Pro W3" w:hAnsi="Arial" w:cs="Arial"/>
                <w:lang w:val="es-ES"/>
              </w:rPr>
              <w:t>Orden Ministerial</w:t>
            </w:r>
          </w:p>
        </w:tc>
      </w:tr>
      <w:tr w:rsidR="00A5547B" w:rsidRPr="002D3C93" w:rsidTr="00C0148A">
        <w:trPr>
          <w:trHeight w:val="780"/>
          <w:jc w:val="center"/>
        </w:trPr>
        <w:tc>
          <w:tcPr>
            <w:tcW w:w="204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2D3C93">
              <w:rPr>
                <w:rFonts w:ascii="Arial" w:eastAsia="ヒラギノ角ゴ Pro W3" w:hAnsi="Arial" w:cs="Arial"/>
                <w:b/>
                <w:bCs/>
                <w:lang w:val="es-ES"/>
              </w:rPr>
              <w:t xml:space="preserve">Estructura de la Norma </w:t>
            </w:r>
          </w:p>
        </w:tc>
        <w:tc>
          <w:tcPr>
            <w:tcW w:w="7555" w:type="dxa"/>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F3AE4" w:rsidRDefault="00DF3AE4" w:rsidP="005635AE">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jc w:val="both"/>
              <w:rPr>
                <w:rFonts w:ascii="Arial" w:eastAsia="ヒラギノ角ゴ Pro W3" w:hAnsi="Arial" w:cs="Arial"/>
                <w:lang w:val="es-ES"/>
              </w:rPr>
            </w:pPr>
            <w:r w:rsidRPr="00DF3AE4">
              <w:rPr>
                <w:rFonts w:ascii="Arial" w:eastAsia="ヒラギノ角ゴ Pro W3" w:hAnsi="Arial" w:cs="Arial"/>
                <w:lang w:val="es-ES"/>
              </w:rPr>
              <w:t xml:space="preserve">La orden ministerial que se postula consta de un preámbulo, una parte dispositiva con un único artículo estructurado en </w:t>
            </w:r>
            <w:r>
              <w:rPr>
                <w:rFonts w:ascii="Arial" w:eastAsia="ヒラギノ角ゴ Pro W3" w:hAnsi="Arial" w:cs="Arial"/>
                <w:lang w:val="es-ES"/>
              </w:rPr>
              <w:t>tres</w:t>
            </w:r>
            <w:r w:rsidRPr="00DF3AE4">
              <w:rPr>
                <w:rFonts w:ascii="Arial" w:eastAsia="ヒラギノ角ゴ Pro W3" w:hAnsi="Arial" w:cs="Arial"/>
                <w:lang w:val="es-ES"/>
              </w:rPr>
              <w:t xml:space="preserve"> apartados, y dos disposiciones finales relativas al título competencial y a la entrada en vigor de la orden. </w:t>
            </w:r>
          </w:p>
          <w:p w:rsidR="00457944" w:rsidRPr="00A660BA" w:rsidRDefault="00DF3AE4" w:rsidP="005635AE">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jc w:val="both"/>
              <w:rPr>
                <w:rFonts w:ascii="Arial" w:eastAsia="ヒラギノ角ゴ Pro W3" w:hAnsi="Arial" w:cs="Arial"/>
                <w:highlight w:val="magenta"/>
                <w:lang w:val="es-ES"/>
              </w:rPr>
            </w:pPr>
            <w:r>
              <w:rPr>
                <w:rFonts w:ascii="Arial" w:eastAsia="ヒラギノ角ゴ Pro W3" w:hAnsi="Arial" w:cs="Arial"/>
                <w:lang w:val="es-ES"/>
              </w:rPr>
              <w:t>El primer</w:t>
            </w:r>
            <w:r w:rsidR="00B04AB6">
              <w:rPr>
                <w:rFonts w:ascii="Arial" w:eastAsia="ヒラギノ角ゴ Pro W3" w:hAnsi="Arial" w:cs="Arial"/>
                <w:lang w:val="es-ES"/>
              </w:rPr>
              <w:t>o de los tres apartados referidos,</w:t>
            </w:r>
            <w:r>
              <w:rPr>
                <w:rFonts w:ascii="Arial" w:eastAsia="ヒラギノ角ゴ Pro W3" w:hAnsi="Arial" w:cs="Arial"/>
                <w:lang w:val="es-ES"/>
              </w:rPr>
              <w:t xml:space="preserve"> </w:t>
            </w:r>
            <w:r w:rsidR="00B04AB6">
              <w:rPr>
                <w:rFonts w:ascii="Arial" w:eastAsia="ヒラギノ角ゴ Pro W3" w:hAnsi="Arial" w:cs="Arial"/>
                <w:lang w:val="es-ES"/>
              </w:rPr>
              <w:t xml:space="preserve">amplía la lista de </w:t>
            </w:r>
            <w:r>
              <w:rPr>
                <w:rFonts w:ascii="Arial" w:eastAsia="ヒラギノ角ゴ Pro W3" w:hAnsi="Arial" w:cs="Arial"/>
                <w:lang w:val="es-ES"/>
              </w:rPr>
              <w:t xml:space="preserve">compuestos de la Lista 1 del Anexo I. Los apartados segundo y tercero modifican sendos Anexos II y III para adecuar </w:t>
            </w:r>
            <w:r w:rsidR="008B368E">
              <w:rPr>
                <w:rFonts w:ascii="Arial" w:eastAsia="ヒラギノ角ゴ Pro W3" w:hAnsi="Arial" w:cs="Arial"/>
                <w:lang w:val="es-ES"/>
              </w:rPr>
              <w:t>varios formularios.</w:t>
            </w:r>
          </w:p>
        </w:tc>
      </w:tr>
      <w:tr w:rsidR="00A5547B" w:rsidRPr="002D3C93" w:rsidTr="00C0148A">
        <w:trPr>
          <w:cantSplit/>
          <w:trHeight w:val="393"/>
          <w:jc w:val="center"/>
        </w:trPr>
        <w:tc>
          <w:tcPr>
            <w:tcW w:w="204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2D3C93">
              <w:rPr>
                <w:rFonts w:ascii="Arial" w:eastAsia="ヒラギノ角ゴ Pro W3" w:hAnsi="Arial" w:cs="Arial"/>
                <w:b/>
                <w:bCs/>
                <w:lang w:val="es-ES"/>
              </w:rPr>
              <w:t>Informes necesarios</w:t>
            </w:r>
          </w:p>
        </w:tc>
        <w:tc>
          <w:tcPr>
            <w:tcW w:w="7555" w:type="dxa"/>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256BD" w:rsidRPr="00D256BD" w:rsidRDefault="00D256BD" w:rsidP="00325142">
            <w:pPr>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336" w:lineRule="auto"/>
              <w:jc w:val="both"/>
              <w:rPr>
                <w:rFonts w:ascii="Arial" w:eastAsia="ヒラギノ角ゴ Pro W3" w:hAnsi="Arial" w:cs="Arial"/>
                <w:lang w:val="es-ES"/>
              </w:rPr>
            </w:pPr>
            <w:r>
              <w:rPr>
                <w:rFonts w:ascii="Arial" w:eastAsia="ヒラギノ角ゴ Pro W3" w:hAnsi="Arial" w:cs="Arial"/>
                <w:lang w:val="es-ES"/>
              </w:rPr>
              <w:t xml:space="preserve">De acuerdo con el artículo 26.5 de la </w:t>
            </w:r>
            <w:r w:rsidRPr="00D256BD">
              <w:rPr>
                <w:rFonts w:ascii="Arial" w:eastAsia="ヒラギノ角ゴ Pro W3" w:hAnsi="Arial" w:cs="Arial"/>
                <w:lang w:val="es-ES"/>
              </w:rPr>
              <w:t>Ley 50/1997, d</w:t>
            </w:r>
            <w:r>
              <w:rPr>
                <w:rFonts w:ascii="Arial" w:eastAsia="ヒラギノ角ゴ Pro W3" w:hAnsi="Arial" w:cs="Arial"/>
                <w:lang w:val="es-ES"/>
              </w:rPr>
              <w:t>e 27 de noviembre, del Gobierno, informe de la</w:t>
            </w:r>
            <w:r w:rsidRPr="00D256BD">
              <w:rPr>
                <w:rFonts w:ascii="Arial" w:eastAsia="ヒラギノ角ゴ Pro W3" w:hAnsi="Arial" w:cs="Arial"/>
                <w:lang w:val="es-ES"/>
              </w:rPr>
              <w:t xml:space="preserve"> </w:t>
            </w:r>
            <w:r w:rsidR="00A5547B" w:rsidRPr="00D256BD">
              <w:rPr>
                <w:rFonts w:ascii="Arial" w:eastAsia="ヒラギノ角ゴ Pro W3" w:hAnsi="Arial" w:cs="Arial"/>
                <w:lang w:val="es-ES"/>
              </w:rPr>
              <w:t xml:space="preserve">Secretaría General Técnica del Ministerio </w:t>
            </w:r>
            <w:r>
              <w:rPr>
                <w:rFonts w:ascii="Arial" w:eastAsia="ヒラギノ角ゴ Pro W3" w:hAnsi="Arial" w:cs="Arial"/>
                <w:lang w:val="es-ES"/>
              </w:rPr>
              <w:t xml:space="preserve">de Industria, y </w:t>
            </w:r>
            <w:r w:rsidRPr="00D43A0D">
              <w:rPr>
                <w:rFonts w:ascii="Arial" w:eastAsia="ヒラギノ角ゴ Pro W3" w:hAnsi="Arial" w:cs="Arial"/>
                <w:lang w:val="es-ES"/>
              </w:rPr>
              <w:t>dictamen del Consejo de Estado</w:t>
            </w:r>
            <w:r>
              <w:rPr>
                <w:rFonts w:ascii="Arial" w:eastAsia="ヒラギノ角ゴ Pro W3" w:hAnsi="Arial" w:cs="Arial"/>
                <w:lang w:val="es-ES"/>
              </w:rPr>
              <w:t>.</w:t>
            </w:r>
          </w:p>
        </w:tc>
      </w:tr>
      <w:tr w:rsidR="00D256BD" w:rsidRPr="002D3C93" w:rsidTr="00C0148A">
        <w:trPr>
          <w:cantSplit/>
          <w:trHeight w:val="393"/>
          <w:jc w:val="center"/>
        </w:trPr>
        <w:tc>
          <w:tcPr>
            <w:tcW w:w="204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256BD" w:rsidRPr="002D3C93" w:rsidRDefault="00D256BD"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Pr>
                <w:rFonts w:ascii="Arial" w:eastAsia="ヒラギノ角ゴ Pro W3" w:hAnsi="Arial" w:cs="Arial"/>
                <w:b/>
                <w:bCs/>
                <w:lang w:val="es-ES"/>
              </w:rPr>
              <w:t>Consulta pública previa</w:t>
            </w:r>
          </w:p>
        </w:tc>
        <w:tc>
          <w:tcPr>
            <w:tcW w:w="7555" w:type="dxa"/>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23154A" w:rsidRPr="0023154A" w:rsidRDefault="0023154A" w:rsidP="0023154A">
            <w:pPr>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336" w:lineRule="auto"/>
              <w:jc w:val="both"/>
              <w:rPr>
                <w:rFonts w:ascii="Arial" w:eastAsia="ヒラギノ角ゴ Pro W3" w:hAnsi="Arial" w:cs="Arial"/>
                <w:lang w:val="es-ES"/>
              </w:rPr>
            </w:pPr>
            <w:r w:rsidRPr="0023154A">
              <w:rPr>
                <w:rFonts w:ascii="Arial" w:eastAsia="ヒラギノ角ゴ Pro W3" w:hAnsi="Arial" w:cs="Arial"/>
                <w:lang w:val="es-ES"/>
              </w:rPr>
              <w:t xml:space="preserve">Se ha realizado el trámite de consulta pública previa conforme a </w:t>
            </w:r>
          </w:p>
          <w:p w:rsidR="0023154A" w:rsidRPr="0023154A" w:rsidRDefault="0023154A" w:rsidP="0023154A">
            <w:pPr>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336" w:lineRule="auto"/>
              <w:jc w:val="both"/>
              <w:rPr>
                <w:rFonts w:ascii="Arial" w:eastAsia="ヒラギノ角ゴ Pro W3" w:hAnsi="Arial" w:cs="Arial"/>
                <w:lang w:val="es-ES"/>
              </w:rPr>
            </w:pPr>
            <w:r w:rsidRPr="0023154A">
              <w:rPr>
                <w:rFonts w:ascii="Arial" w:eastAsia="ヒラギノ角ゴ Pro W3" w:hAnsi="Arial" w:cs="Arial"/>
                <w:lang w:val="es-ES"/>
              </w:rPr>
              <w:t xml:space="preserve">lo previsto en el artículo 26.2 de la Ley 50/1997, de 27 de </w:t>
            </w:r>
          </w:p>
          <w:p w:rsidR="00EE5507" w:rsidRPr="0023154A" w:rsidRDefault="0023154A" w:rsidP="00EE5507">
            <w:pPr>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336" w:lineRule="auto"/>
              <w:rPr>
                <w:rFonts w:ascii="Arial" w:eastAsia="ヒラギノ角ゴ Pro W3" w:hAnsi="Arial" w:cs="Arial"/>
                <w:lang w:val="es-ES"/>
              </w:rPr>
            </w:pPr>
            <w:r w:rsidRPr="0023154A">
              <w:rPr>
                <w:rFonts w:ascii="Arial" w:eastAsia="ヒラギノ角ゴ Pro W3" w:hAnsi="Arial" w:cs="Arial"/>
                <w:lang w:val="es-ES"/>
              </w:rPr>
              <w:t>noviembre, del Gobierno</w:t>
            </w:r>
            <w:r w:rsidR="00EE5507" w:rsidRPr="0023154A">
              <w:rPr>
                <w:rFonts w:ascii="Arial" w:eastAsia="ヒラギノ角ゴ Pro W3" w:hAnsi="Arial" w:cs="Arial"/>
                <w:lang w:val="es-ES"/>
              </w:rPr>
              <w:t xml:space="preserve">, mediante la publicación en la </w:t>
            </w:r>
          </w:p>
          <w:p w:rsidR="00D256BD" w:rsidRDefault="00EE5507" w:rsidP="00EE5507">
            <w:pPr>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336" w:lineRule="auto"/>
              <w:jc w:val="both"/>
              <w:rPr>
                <w:rFonts w:ascii="Arial" w:eastAsia="ヒラギノ角ゴ Pro W3" w:hAnsi="Arial" w:cs="Arial"/>
                <w:lang w:val="es-ES"/>
              </w:rPr>
            </w:pPr>
            <w:r w:rsidRPr="0023154A">
              <w:rPr>
                <w:rFonts w:ascii="Arial" w:eastAsia="ヒラギノ角ゴ Pro W3" w:hAnsi="Arial" w:cs="Arial"/>
                <w:lang w:val="es-ES"/>
              </w:rPr>
              <w:t>página web del Ministerio de Industria y Turismo.</w:t>
            </w:r>
            <w:bookmarkStart w:id="1" w:name="_GoBack"/>
            <w:bookmarkEnd w:id="1"/>
          </w:p>
        </w:tc>
      </w:tr>
      <w:tr w:rsidR="00A5547B" w:rsidRPr="002D3C93" w:rsidTr="005635AE">
        <w:trPr>
          <w:cantSplit/>
          <w:trHeight w:val="827"/>
          <w:jc w:val="center"/>
        </w:trPr>
        <w:tc>
          <w:tcPr>
            <w:tcW w:w="204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A5547B" w:rsidRPr="00D256BD"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D256BD">
              <w:rPr>
                <w:rFonts w:ascii="Arial" w:eastAsia="ヒラギノ角ゴ Pro W3" w:hAnsi="Arial" w:cs="Arial"/>
                <w:b/>
                <w:bCs/>
                <w:lang w:val="es-ES"/>
              </w:rPr>
              <w:t>Trámite de audiencia</w:t>
            </w:r>
          </w:p>
        </w:tc>
        <w:tc>
          <w:tcPr>
            <w:tcW w:w="7555" w:type="dxa"/>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23154A" w:rsidRPr="0023154A" w:rsidRDefault="0023154A" w:rsidP="0023154A">
            <w:pPr>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336" w:lineRule="auto"/>
              <w:rPr>
                <w:rFonts w:ascii="Arial" w:eastAsia="ヒラギノ角ゴ Pro W3" w:hAnsi="Arial" w:cs="Arial"/>
                <w:lang w:val="es-ES"/>
              </w:rPr>
            </w:pPr>
            <w:r w:rsidRPr="0023154A">
              <w:rPr>
                <w:rFonts w:ascii="Arial" w:eastAsia="ヒラギノ角ゴ Pro W3" w:hAnsi="Arial" w:cs="Arial"/>
                <w:lang w:val="es-ES"/>
              </w:rPr>
              <w:t xml:space="preserve">Se ha realizado el trámite de información y audiencia pública, </w:t>
            </w:r>
          </w:p>
          <w:p w:rsidR="0023154A" w:rsidRPr="0023154A" w:rsidRDefault="0023154A" w:rsidP="0023154A">
            <w:pPr>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336" w:lineRule="auto"/>
              <w:rPr>
                <w:rFonts w:ascii="Arial" w:eastAsia="ヒラギノ角ゴ Pro W3" w:hAnsi="Arial" w:cs="Arial"/>
                <w:lang w:val="es-ES"/>
              </w:rPr>
            </w:pPr>
            <w:r w:rsidRPr="0023154A">
              <w:rPr>
                <w:rFonts w:ascii="Arial" w:eastAsia="ヒラギノ角ゴ Pro W3" w:hAnsi="Arial" w:cs="Arial"/>
                <w:lang w:val="es-ES"/>
              </w:rPr>
              <w:t xml:space="preserve">conforme a lo previsto en el artículo 26.6 de la Ley 50/1997, de </w:t>
            </w:r>
          </w:p>
          <w:p w:rsidR="0023154A" w:rsidRPr="0023154A" w:rsidRDefault="0023154A" w:rsidP="0023154A">
            <w:pPr>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336" w:lineRule="auto"/>
              <w:rPr>
                <w:rFonts w:ascii="Arial" w:eastAsia="ヒラギノ角ゴ Pro W3" w:hAnsi="Arial" w:cs="Arial"/>
                <w:lang w:val="es-ES"/>
              </w:rPr>
            </w:pPr>
            <w:r w:rsidRPr="0023154A">
              <w:rPr>
                <w:rFonts w:ascii="Arial" w:eastAsia="ヒラギノ角ゴ Pro W3" w:hAnsi="Arial" w:cs="Arial"/>
                <w:lang w:val="es-ES"/>
              </w:rPr>
              <w:t xml:space="preserve">27 de noviembre, del Gobierno, mediante la publicación en la </w:t>
            </w:r>
          </w:p>
          <w:p w:rsidR="00A5547B" w:rsidRPr="00D256BD" w:rsidRDefault="0023154A" w:rsidP="0023154A">
            <w:pPr>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336" w:lineRule="auto"/>
              <w:rPr>
                <w:rFonts w:ascii="Arial" w:eastAsia="ヒラギノ角ゴ Pro W3" w:hAnsi="Arial" w:cs="Arial"/>
                <w:lang w:val="es-ES"/>
              </w:rPr>
            </w:pPr>
            <w:r w:rsidRPr="0023154A">
              <w:rPr>
                <w:rFonts w:ascii="Arial" w:eastAsia="ヒラギノ角ゴ Pro W3" w:hAnsi="Arial" w:cs="Arial"/>
                <w:lang w:val="es-ES"/>
              </w:rPr>
              <w:t>página web del Ministerio de Industria y Turismo.</w:t>
            </w:r>
          </w:p>
        </w:tc>
      </w:tr>
    </w:tbl>
    <w:p w:rsidR="00A5547B" w:rsidRDefault="00A5547B" w:rsidP="00A5547B">
      <w:pPr>
        <w:rPr>
          <w:lang w:val="es-ES"/>
        </w:rPr>
      </w:pPr>
    </w:p>
    <w:p w:rsidR="002373C1" w:rsidRDefault="002373C1" w:rsidP="00A5547B">
      <w:pPr>
        <w:rPr>
          <w:lang w:val="es-ES"/>
        </w:rPr>
      </w:pPr>
    </w:p>
    <w:p w:rsidR="0023154A" w:rsidRDefault="0023154A" w:rsidP="00A5547B">
      <w:pPr>
        <w:rPr>
          <w:lang w:val="es-ES"/>
        </w:rPr>
      </w:pPr>
    </w:p>
    <w:p w:rsidR="0023154A" w:rsidRDefault="0023154A" w:rsidP="00A5547B">
      <w:pPr>
        <w:rPr>
          <w:lang w:val="es-ES"/>
        </w:rPr>
      </w:pPr>
    </w:p>
    <w:p w:rsidR="0023154A" w:rsidRDefault="0023154A" w:rsidP="00A5547B">
      <w:pPr>
        <w:rPr>
          <w:lang w:val="es-ES"/>
        </w:rPr>
      </w:pPr>
    </w:p>
    <w:p w:rsidR="0023154A" w:rsidRDefault="0023154A" w:rsidP="00A5547B">
      <w:pPr>
        <w:rPr>
          <w:lang w:val="es-ES"/>
        </w:rPr>
      </w:pPr>
    </w:p>
    <w:p w:rsidR="0023154A" w:rsidRDefault="0023154A" w:rsidP="00A5547B">
      <w:pPr>
        <w:rPr>
          <w:lang w:val="es-ES"/>
        </w:rPr>
      </w:pPr>
    </w:p>
    <w:p w:rsidR="0023154A" w:rsidRDefault="0023154A" w:rsidP="00A5547B">
      <w:pPr>
        <w:rPr>
          <w:lang w:val="es-ES"/>
        </w:rPr>
      </w:pPr>
    </w:p>
    <w:p w:rsidR="0023154A" w:rsidRDefault="0023154A" w:rsidP="00A5547B">
      <w:pPr>
        <w:rPr>
          <w:lang w:val="es-ES"/>
        </w:rPr>
      </w:pPr>
    </w:p>
    <w:p w:rsidR="002373C1" w:rsidRPr="00F712B6" w:rsidRDefault="002373C1" w:rsidP="00A5547B">
      <w:pPr>
        <w:rPr>
          <w:lang w:val="es-ES"/>
        </w:rPr>
      </w:pPr>
    </w:p>
    <w:tbl>
      <w:tblPr>
        <w:tblW w:w="9538" w:type="dxa"/>
        <w:jc w:val="center"/>
        <w:tblLayout w:type="fixed"/>
        <w:tblLook w:val="0000" w:firstRow="0" w:lastRow="0" w:firstColumn="0" w:lastColumn="0" w:noHBand="0" w:noVBand="0"/>
      </w:tblPr>
      <w:tblGrid>
        <w:gridCol w:w="2269"/>
        <w:gridCol w:w="3168"/>
        <w:gridCol w:w="4101"/>
      </w:tblGrid>
      <w:tr w:rsidR="00A5547B" w:rsidRPr="002D3C93" w:rsidTr="00C0148A">
        <w:trPr>
          <w:cantSplit/>
          <w:trHeight w:val="322"/>
          <w:jc w:val="center"/>
        </w:trPr>
        <w:tc>
          <w:tcPr>
            <w:tcW w:w="9538" w:type="dxa"/>
            <w:gridSpan w:val="3"/>
            <w:tcBorders>
              <w:top w:val="single" w:sz="16" w:space="0" w:color="000000"/>
              <w:left w:val="single" w:sz="32" w:space="0" w:color="000000"/>
              <w:bottom w:val="single" w:sz="16" w:space="0" w:color="000000"/>
              <w:right w:val="single" w:sz="32" w:space="0" w:color="000000"/>
            </w:tcBorders>
            <w:shd w:val="clear" w:color="auto" w:fill="F2D904"/>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jc w:val="center"/>
              <w:rPr>
                <w:rFonts w:ascii="Arial" w:eastAsia="ヒラギノ角ゴ Pro W3" w:hAnsi="Arial" w:cs="Arial"/>
                <w:b/>
                <w:bCs/>
                <w:lang w:val="es-ES"/>
              </w:rPr>
            </w:pPr>
            <w:r w:rsidRPr="002D3C93">
              <w:rPr>
                <w:rFonts w:ascii="Arial" w:eastAsia="ヒラギノ角ゴ Pro W3" w:hAnsi="Arial" w:cs="Arial"/>
                <w:b/>
                <w:bCs/>
                <w:lang w:val="es-ES"/>
              </w:rPr>
              <w:lastRenderedPageBreak/>
              <w:t>ANÁLISIS DE IMPACTOS</w:t>
            </w:r>
          </w:p>
        </w:tc>
      </w:tr>
      <w:tr w:rsidR="00A5547B" w:rsidRPr="002D3C93" w:rsidTr="00C0148A">
        <w:trPr>
          <w:cantSplit/>
          <w:trHeight w:val="1127"/>
          <w:jc w:val="center"/>
        </w:trPr>
        <w:tc>
          <w:tcPr>
            <w:tcW w:w="2269"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2D3C93">
              <w:rPr>
                <w:rFonts w:ascii="Arial" w:eastAsia="ヒラギノ角ゴ Pro W3" w:hAnsi="Arial" w:cs="Arial"/>
                <w:b/>
                <w:bCs/>
                <w:lang w:val="es-ES"/>
              </w:rPr>
              <w:t>Adecuación al orden de competencias</w:t>
            </w:r>
          </w:p>
        </w:tc>
        <w:tc>
          <w:tcPr>
            <w:tcW w:w="7269" w:type="dxa"/>
            <w:gridSpan w:val="2"/>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A5547B" w:rsidRPr="002D3C93" w:rsidRDefault="00457944" w:rsidP="0041506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60" w:lineRule="auto"/>
              <w:jc w:val="both"/>
              <w:rPr>
                <w:rFonts w:ascii="Arial" w:eastAsia="ヒラギノ角ゴ Pro W3" w:hAnsi="Arial" w:cs="Arial"/>
                <w:lang w:val="es-ES"/>
              </w:rPr>
            </w:pPr>
            <w:r>
              <w:rPr>
                <w:rFonts w:ascii="Arial" w:eastAsia="ヒラギノ角ゴ Pro W3" w:hAnsi="Arial" w:cs="Arial"/>
                <w:lang w:val="es-ES"/>
              </w:rPr>
              <w:t xml:space="preserve">La orden </w:t>
            </w:r>
            <w:r w:rsidRPr="00457944">
              <w:rPr>
                <w:rFonts w:ascii="Arial" w:eastAsia="ヒラギノ角ゴ Pro W3" w:hAnsi="Arial" w:cs="Arial"/>
                <w:lang w:val="es-ES"/>
              </w:rPr>
              <w:t>se dicta al amparo de lo dispuesto en los artículos 149.1.26.ª de la Constitución, que atribuye al Estado competencia exclusiva sobre el régimen de producción, comercio, tenenci</w:t>
            </w:r>
            <w:r>
              <w:rPr>
                <w:rFonts w:ascii="Arial" w:eastAsia="ヒラギノ角ゴ Pro W3" w:hAnsi="Arial" w:cs="Arial"/>
                <w:lang w:val="es-ES"/>
              </w:rPr>
              <w:t>a y uso de armas y explosivos;</w:t>
            </w:r>
            <w:r w:rsidRPr="00457944">
              <w:rPr>
                <w:rFonts w:ascii="Arial" w:eastAsia="ヒラギノ角ゴ Pro W3" w:hAnsi="Arial" w:cs="Arial"/>
                <w:lang w:val="es-ES"/>
              </w:rPr>
              <w:t xml:space="preserve"> y 149.1.10.ª de la Constitución, que atribuye al Estado la competencia exclusiva en materia de comercio exterior.</w:t>
            </w:r>
          </w:p>
        </w:tc>
      </w:tr>
      <w:tr w:rsidR="00A5547B" w:rsidRPr="002D3C93" w:rsidTr="00C0148A">
        <w:trPr>
          <w:cantSplit/>
          <w:trHeight w:val="783"/>
          <w:jc w:val="center"/>
        </w:trPr>
        <w:tc>
          <w:tcPr>
            <w:tcW w:w="2269" w:type="dxa"/>
            <w:vMerge w:val="restart"/>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2D3C93">
              <w:rPr>
                <w:rFonts w:ascii="Arial" w:eastAsia="ヒラギノ角ゴ Pro W3" w:hAnsi="Arial" w:cs="Arial"/>
                <w:b/>
                <w:bCs/>
                <w:lang w:val="es-ES"/>
              </w:rPr>
              <w:t>Impacto económico y presupuestario</w:t>
            </w:r>
          </w:p>
        </w:tc>
        <w:tc>
          <w:tcPr>
            <w:tcW w:w="3168"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rFonts w:ascii="Arial" w:eastAsia="ヒラギノ角ゴ Pro W3" w:hAnsi="Arial" w:cs="Arial"/>
                <w:lang w:val="es-ES"/>
              </w:rPr>
              <w:t>Efectos sobre la economía en general.</w:t>
            </w:r>
          </w:p>
        </w:tc>
        <w:tc>
          <w:tcPr>
            <w:tcW w:w="4101" w:type="dxa"/>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rsidR="00A5547B" w:rsidRPr="002D3C93" w:rsidRDefault="00457944"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ind w:left="480"/>
              <w:jc w:val="both"/>
              <w:rPr>
                <w:rFonts w:ascii="Arial" w:eastAsia="ヒラギノ角ゴ Pro W3" w:hAnsi="Arial" w:cs="Arial"/>
                <w:lang w:val="es-ES"/>
              </w:rPr>
            </w:pPr>
            <w:r>
              <w:rPr>
                <w:rFonts w:ascii="Arial" w:eastAsia="ヒラギノ角ゴ Pro W3" w:hAnsi="Arial" w:cs="Arial"/>
                <w:lang w:val="es-ES"/>
              </w:rPr>
              <w:t>El proyecto de orden no tiene efectos sobre la economía en general</w:t>
            </w:r>
            <w:r w:rsidR="00A5547B" w:rsidRPr="002D3C93">
              <w:rPr>
                <w:rFonts w:ascii="Arial" w:eastAsia="ヒラギノ角ゴ Pro W3" w:hAnsi="Arial" w:cs="Arial"/>
                <w:lang w:val="es-ES"/>
              </w:rPr>
              <w:t xml:space="preserve"> </w:t>
            </w:r>
          </w:p>
        </w:tc>
      </w:tr>
      <w:tr w:rsidR="00A5547B" w:rsidRPr="002D3C93" w:rsidTr="00C0148A">
        <w:trPr>
          <w:cantSplit/>
          <w:trHeight w:val="2000"/>
          <w:jc w:val="center"/>
        </w:trPr>
        <w:tc>
          <w:tcPr>
            <w:tcW w:w="2269"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p>
        </w:tc>
        <w:tc>
          <w:tcPr>
            <w:tcW w:w="3168"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rFonts w:ascii="Arial" w:eastAsia="ヒラギノ角ゴ Pro W3" w:hAnsi="Arial" w:cs="Arial"/>
                <w:lang w:val="es-ES"/>
              </w:rPr>
              <w:t>En relación con la competencia</w:t>
            </w:r>
          </w:p>
        </w:tc>
        <w:tc>
          <w:tcPr>
            <w:tcW w:w="4101" w:type="dxa"/>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noProof/>
                <w:lang w:val="es-ES"/>
              </w:rPr>
              <mc:AlternateContent>
                <mc:Choice Requires="wps">
                  <w:drawing>
                    <wp:inline distT="0" distB="0" distL="0" distR="0" wp14:anchorId="54C9B1F6" wp14:editId="58BCFB37">
                      <wp:extent cx="165100" cy="177800"/>
                      <wp:effectExtent l="0" t="0" r="25400" b="12700"/>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pattFill prst="wdDnDiag">
                                <a:fgClr>
                                  <a:srgbClr val="000000"/>
                                </a:fgClr>
                                <a:bgClr>
                                  <a:srgbClr val="FFFFFF"/>
                                </a:bgClr>
                              </a:pattFill>
                              <a:ln w="12700">
                                <a:solidFill>
                                  <a:srgbClr val="000000"/>
                                </a:solidFill>
                                <a:miter lim="800000"/>
                                <a:headEnd/>
                                <a:tailEnd/>
                              </a:ln>
                            </wps:spPr>
                            <wps:txbx>
                              <w:txbxContent>
                                <w:p w:rsidR="00A5547B" w:rsidRDefault="00A5547B" w:rsidP="00A5547B">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54C9B1F6" id="Rectangle 13" o:sp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" fillcolor="black" strokeweight="1pt">
                      <v:fill r:id="rId13" o:title="" type="pattern"/>
                      <v:path arrowok="t"/>
                      <v:textbox inset="8pt,8pt,8pt,8pt">
                        <w:txbxContent>
                          <w:p w:rsidR="00A5547B" w:rsidRDefault="00A5547B" w:rsidP="00A5547B">
                            <w:pPr>
                              <w:pStyle w:val="Formatolibre"/>
                              <w:rPr>
                                <w:rFonts w:ascii="Times New Roman" w:hAnsi="Times New Roman" w:cs="Times New Roman"/>
                                <w:noProof/>
                                <w:color w:val="auto"/>
                                <w:sz w:val="20"/>
                                <w:szCs w:val="20"/>
                                <w:lang w:val="en-US"/>
                              </w:rPr>
                            </w:pPr>
                          </w:p>
                        </w:txbxContent>
                      </v:textbox>
                      <w10:anchorlock/>
                    </v:rect>
                  </w:pict>
                </mc:Fallback>
              </mc:AlternateContent>
            </w:r>
            <w:r w:rsidRPr="002D3C93">
              <w:rPr>
                <w:rFonts w:ascii="Arial" w:eastAsia="ヒラギノ角ゴ Pro W3" w:hAnsi="Arial" w:cs="Arial"/>
                <w:lang w:val="es-ES"/>
              </w:rPr>
              <w:t xml:space="preserve"> La norma no tiene efectos significativos sobre la competencia.</w:t>
            </w:r>
          </w:p>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noProof/>
                <w:lang w:val="es-ES"/>
              </w:rPr>
              <mc:AlternateContent>
                <mc:Choice Requires="wps">
                  <w:drawing>
                    <wp:inline distT="0" distB="0" distL="0" distR="0" wp14:anchorId="64FE4671" wp14:editId="09E1589C">
                      <wp:extent cx="165100" cy="177800"/>
                      <wp:effectExtent l="0" t="0" r="25400" b="12700"/>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547B" w:rsidRDefault="00A5547B" w:rsidP="00A5547B">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64FE4671" id="Rectangle 14"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DN8c5HawIAAPwEAAAOAAAAAAAAAAAAAAAAAC4CAABk&#10;cnMvZTJvRG9jLnhtbFBLAQItABQABgAIAAAAIQCv9gKg2gAAAAMBAAAPAAAAAAAAAAAAAAAAAMUE&#10;AABkcnMvZG93bnJldi54bWxQSwUGAAAAAAQABADzAAAAzAUAAAAA&#10;" filled="f" strokeweight="1pt">
                      <v:path arrowok="t"/>
                      <v:textbox inset="8pt,8pt,8pt,8pt">
                        <w:txbxContent>
                          <w:p w:rsidR="00A5547B" w:rsidRDefault="00A5547B" w:rsidP="00A5547B">
                            <w:pPr>
                              <w:pStyle w:val="Formatolibre"/>
                              <w:rPr>
                                <w:rFonts w:ascii="Times New Roman" w:hAnsi="Times New Roman" w:cs="Times New Roman"/>
                                <w:noProof/>
                                <w:color w:val="auto"/>
                                <w:sz w:val="20"/>
                                <w:szCs w:val="20"/>
                                <w:lang w:val="en-US"/>
                              </w:rPr>
                            </w:pPr>
                          </w:p>
                        </w:txbxContent>
                      </v:textbox>
                      <w10:anchorlock/>
                    </v:rect>
                  </w:pict>
                </mc:Fallback>
              </mc:AlternateContent>
            </w:r>
            <w:r w:rsidRPr="002D3C93">
              <w:rPr>
                <w:rFonts w:ascii="Arial" w:eastAsia="ヒラギノ角ゴ Pro W3" w:hAnsi="Arial" w:cs="Arial"/>
                <w:lang w:val="es-ES"/>
              </w:rPr>
              <w:t xml:space="preserve"> La norma tiene efectos positivos sobre la competencia.</w:t>
            </w:r>
          </w:p>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noProof/>
                <w:lang w:val="es-ES"/>
              </w:rPr>
              <mc:AlternateContent>
                <mc:Choice Requires="wps">
                  <w:drawing>
                    <wp:inline distT="0" distB="0" distL="0" distR="0" wp14:anchorId="2511204E" wp14:editId="1D111CB1">
                      <wp:extent cx="165100" cy="177800"/>
                      <wp:effectExtent l="0" t="0" r="25400" b="12700"/>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547B" w:rsidRDefault="00A5547B" w:rsidP="00A5547B">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2511204E" id="Rectangle 12" o:sp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" filled="f" strokeweight="1pt">
                      <v:path arrowok="t"/>
                      <v:textbox inset="8pt,8pt,8pt,8pt">
                        <w:txbxContent>
                          <w:p w:rsidR="00A5547B" w:rsidRDefault="00A5547B" w:rsidP="00A5547B">
                            <w:pPr>
                              <w:pStyle w:val="Formatolibre"/>
                              <w:rPr>
                                <w:rFonts w:ascii="Times New Roman" w:hAnsi="Times New Roman" w:cs="Times New Roman"/>
                                <w:noProof/>
                                <w:color w:val="auto"/>
                                <w:sz w:val="20"/>
                                <w:szCs w:val="20"/>
                                <w:lang w:val="en-US"/>
                              </w:rPr>
                            </w:pPr>
                          </w:p>
                        </w:txbxContent>
                      </v:textbox>
                      <w10:anchorlock/>
                    </v:rect>
                  </w:pict>
                </mc:Fallback>
              </mc:AlternateContent>
            </w:r>
            <w:r w:rsidRPr="002D3C93">
              <w:rPr>
                <w:rFonts w:ascii="Arial" w:eastAsia="ヒラギノ角ゴ Pro W3" w:hAnsi="Arial" w:cs="Arial"/>
                <w:lang w:val="es-ES"/>
              </w:rPr>
              <w:t xml:space="preserve"> La norma tiene efectos negativos sobre la competencia.</w:t>
            </w:r>
          </w:p>
        </w:tc>
      </w:tr>
      <w:tr w:rsidR="00A5547B" w:rsidRPr="002D3C93" w:rsidTr="00C0148A">
        <w:trPr>
          <w:cantSplit/>
          <w:trHeight w:val="2340"/>
          <w:jc w:val="center"/>
        </w:trPr>
        <w:tc>
          <w:tcPr>
            <w:tcW w:w="2269"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p>
        </w:tc>
        <w:tc>
          <w:tcPr>
            <w:tcW w:w="3168"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rFonts w:ascii="Arial" w:eastAsia="ヒラギノ角ゴ Pro W3" w:hAnsi="Arial" w:cs="Arial"/>
                <w:lang w:val="es-ES"/>
              </w:rPr>
              <w:t>Desde el punto de vista de las cargas administrativas</w:t>
            </w:r>
          </w:p>
        </w:tc>
        <w:tc>
          <w:tcPr>
            <w:tcW w:w="4101" w:type="dxa"/>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ind w:left="480"/>
              <w:rPr>
                <w:rFonts w:ascii="Arial" w:eastAsia="ヒラギノ角ゴ Pro W3" w:hAnsi="Arial" w:cs="Arial"/>
                <w:lang w:val="es-ES"/>
              </w:rPr>
            </w:pPr>
            <w:r w:rsidRPr="002D3C93">
              <w:rPr>
                <w:noProof/>
                <w:lang w:val="es-ES"/>
              </w:rPr>
              <mc:AlternateContent>
                <mc:Choice Requires="wps">
                  <w:drawing>
                    <wp:inline distT="0" distB="0" distL="0" distR="0" wp14:anchorId="3486694D" wp14:editId="23826EE3">
                      <wp:extent cx="165100" cy="177800"/>
                      <wp:effectExtent l="0" t="0" r="25400" b="12700"/>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547B" w:rsidRPr="00A534DA" w:rsidRDefault="00A5547B" w:rsidP="00A5547B"/>
                              </w:txbxContent>
                            </wps:txbx>
                            <wps:bodyPr rot="0" vert="horz" wrap="square" lIns="101600" tIns="101600" rIns="101600" bIns="101600" anchor="t" anchorCtr="0" upright="1">
                              <a:noAutofit/>
                            </wps:bodyPr>
                          </wps:wsp>
                        </a:graphicData>
                      </a:graphic>
                    </wp:inline>
                  </w:drawing>
                </mc:Choice>
                <mc:Fallback>
                  <w:pict>
                    <v:rect w14:anchorId="3486694D" id="Rectangle 11" o:sp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LFALtGwCAAD8BAAADgAAAAAAAAAAAAAAAAAuAgAA&#10;ZHJzL2Uyb0RvYy54bWxQSwECLQAUAAYACAAAACEAr/YCoNoAAAADAQAADwAAAAAAAAAAAAAAAADG&#10;BAAAZHJzL2Rvd25yZXYueG1sUEsFBgAAAAAEAAQA8wAAAM0FAAAAAA==&#10;" filled="f" strokeweight="1pt">
                      <v:path arrowok="t"/>
                      <v:textbox inset="8pt,8pt,8pt,8pt">
                        <w:txbxContent>
                          <w:p w:rsidR="00A5547B" w:rsidRPr="00A534DA" w:rsidRDefault="00A5547B" w:rsidP="00A5547B"/>
                        </w:txbxContent>
                      </v:textbox>
                      <w10:anchorlock/>
                    </v:rect>
                  </w:pict>
                </mc:Fallback>
              </mc:AlternateContent>
            </w:r>
            <w:r w:rsidRPr="002D3C93">
              <w:rPr>
                <w:rFonts w:ascii="Arial" w:eastAsia="ヒラギノ角ゴ Pro W3" w:hAnsi="Arial" w:cs="Arial"/>
                <w:lang w:val="es-ES"/>
              </w:rPr>
              <w:t xml:space="preserve"> Supone una reducción de cargas administrativas en la Administración del Estado, al acogerse, frente a la regulación anterior, la regla del silencio administrativo estimatorio.</w:t>
            </w:r>
          </w:p>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rFonts w:ascii="Arial" w:eastAsia="ヒラギノ角ゴ Pro W3" w:hAnsi="Arial" w:cs="Arial"/>
                <w:lang w:val="es-ES"/>
              </w:rPr>
              <w:t>Cuantificación estimada:________________</w:t>
            </w:r>
          </w:p>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noProof/>
                <w:lang w:val="es-ES"/>
              </w:rPr>
              <mc:AlternateContent>
                <mc:Choice Requires="wps">
                  <w:drawing>
                    <wp:inline distT="0" distB="0" distL="0" distR="0" wp14:anchorId="5DE4D1FB" wp14:editId="2E586A05">
                      <wp:extent cx="165100" cy="177800"/>
                      <wp:effectExtent l="0" t="0" r="25400" b="12700"/>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547B" w:rsidRDefault="00A5547B" w:rsidP="00A5547B">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5DE4D1FB" id="Rectangle 10" o:sp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hCCVPmwCAAD8BAAADgAAAAAAAAAAAAAAAAAuAgAA&#10;ZHJzL2Uyb0RvYy54bWxQSwECLQAUAAYACAAAACEAr/YCoNoAAAADAQAADwAAAAAAAAAAAAAAAADG&#10;BAAAZHJzL2Rvd25yZXYueG1sUEsFBgAAAAAEAAQA8wAAAM0FAAAAAA==&#10;" filled="f" strokeweight="1pt">
                      <v:path arrowok="t"/>
                      <v:textbox inset="8pt,8pt,8pt,8pt">
                        <w:txbxContent>
                          <w:p w:rsidR="00A5547B" w:rsidRDefault="00A5547B" w:rsidP="00A5547B">
                            <w:pPr>
                              <w:pStyle w:val="Formatolibre"/>
                              <w:rPr>
                                <w:rFonts w:ascii="Times New Roman" w:hAnsi="Times New Roman" w:cs="Times New Roman"/>
                                <w:noProof/>
                                <w:color w:val="auto"/>
                                <w:sz w:val="20"/>
                                <w:szCs w:val="20"/>
                                <w:lang w:val="en-US"/>
                              </w:rPr>
                            </w:pPr>
                          </w:p>
                        </w:txbxContent>
                      </v:textbox>
                      <w10:anchorlock/>
                    </v:rect>
                  </w:pict>
                </mc:Fallback>
              </mc:AlternateContent>
            </w:r>
            <w:r w:rsidRPr="002D3C93">
              <w:rPr>
                <w:rFonts w:ascii="Arial" w:eastAsia="ヒラギノ角ゴ Pro W3" w:hAnsi="Arial" w:cs="Arial"/>
                <w:lang w:val="es-ES"/>
              </w:rPr>
              <w:t xml:space="preserve"> Incorpora nuevas cargas administrativas. </w:t>
            </w:r>
          </w:p>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rFonts w:ascii="Arial" w:eastAsia="ヒラギノ角ゴ Pro W3" w:hAnsi="Arial" w:cs="Arial"/>
                <w:lang w:val="es-ES"/>
              </w:rPr>
              <w:t>Cuantificación estimada:________________</w:t>
            </w:r>
          </w:p>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noProof/>
                <w:lang w:val="es-ES"/>
              </w:rPr>
              <mc:AlternateContent>
                <mc:Choice Requires="wps">
                  <w:drawing>
                    <wp:inline distT="0" distB="0" distL="0" distR="0" wp14:anchorId="10E80182" wp14:editId="2F8E9AD7">
                      <wp:extent cx="165100" cy="177800"/>
                      <wp:effectExtent l="0" t="0" r="25400" b="12700"/>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pattFill prst="wdDnDiag">
                                <a:fgClr>
                                  <a:srgbClr val="000000"/>
                                </a:fgClr>
                                <a:bgClr>
                                  <a:srgbClr val="FFFFFF"/>
                                </a:bgClr>
                              </a:pattFill>
                              <a:ln w="12700">
                                <a:solidFill>
                                  <a:srgbClr val="000000"/>
                                </a:solidFill>
                                <a:miter lim="800000"/>
                                <a:headEnd/>
                                <a:tailEnd/>
                              </a:ln>
                            </wps:spPr>
                            <wps:txbx>
                              <w:txbxContent>
                                <w:p w:rsidR="00A5547B" w:rsidRDefault="00A5547B" w:rsidP="00A5547B">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10E80182" id="Rectangle 9" o:sp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" fillcolor="black" strokeweight="1pt">
                      <v:fill r:id="rId13" o:title="" type="pattern"/>
                      <v:path arrowok="t"/>
                      <v:textbox inset="8pt,8pt,8pt,8pt">
                        <w:txbxContent>
                          <w:p w:rsidR="00A5547B" w:rsidRDefault="00A5547B" w:rsidP="00A5547B">
                            <w:pPr>
                              <w:pStyle w:val="Formatolibre"/>
                              <w:rPr>
                                <w:rFonts w:ascii="Times New Roman" w:hAnsi="Times New Roman" w:cs="Times New Roman"/>
                                <w:noProof/>
                                <w:color w:val="auto"/>
                                <w:sz w:val="20"/>
                                <w:szCs w:val="20"/>
                                <w:lang w:val="en-US"/>
                              </w:rPr>
                            </w:pPr>
                          </w:p>
                        </w:txbxContent>
                      </v:textbox>
                      <w10:anchorlock/>
                    </v:rect>
                  </w:pict>
                </mc:Fallback>
              </mc:AlternateContent>
            </w:r>
            <w:r w:rsidRPr="002D3C93">
              <w:rPr>
                <w:rFonts w:ascii="Arial" w:eastAsia="ヒラギノ角ゴ Pro W3" w:hAnsi="Arial" w:cs="Arial"/>
                <w:lang w:val="es-ES"/>
              </w:rPr>
              <w:t xml:space="preserve"> No afecta a las cargas administrativas.</w:t>
            </w:r>
          </w:p>
        </w:tc>
      </w:tr>
      <w:tr w:rsidR="00A5547B" w:rsidRPr="002D3C93" w:rsidTr="00C0148A">
        <w:trPr>
          <w:cantSplit/>
          <w:trHeight w:val="2713"/>
          <w:jc w:val="center"/>
        </w:trPr>
        <w:tc>
          <w:tcPr>
            <w:tcW w:w="2269"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p>
        </w:tc>
        <w:tc>
          <w:tcPr>
            <w:tcW w:w="3168"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rFonts w:ascii="Arial" w:eastAsia="ヒラギノ角ゴ Pro W3" w:hAnsi="Arial" w:cs="Arial"/>
                <w:lang w:val="es-ES"/>
              </w:rPr>
              <w:t>Desde el punto de vista de los presupuestos, la norma</w:t>
            </w:r>
          </w:p>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noProof/>
                <w:lang w:val="es-ES"/>
              </w:rPr>
              <mc:AlternateContent>
                <mc:Choice Requires="wps">
                  <w:drawing>
                    <wp:inline distT="0" distB="0" distL="0" distR="0" wp14:anchorId="0CD6EFF1" wp14:editId="2CBFAF1E">
                      <wp:extent cx="165100" cy="177800"/>
                      <wp:effectExtent l="0" t="0" r="25400" b="12700"/>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A5547B" w:rsidRDefault="00A5547B" w:rsidP="00A5547B">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0CD6EFF1" id="Rectangle 8" o:sp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" filled="f" fillcolor="black" strokeweight="1pt">
                      <v:path arrowok="t"/>
                      <v:textbox inset="8pt,8pt,8pt,8pt">
                        <w:txbxContent>
                          <w:p w:rsidR="00A5547B" w:rsidRDefault="00A5547B" w:rsidP="00A5547B">
                            <w:pPr>
                              <w:pStyle w:val="Formatolibre"/>
                              <w:rPr>
                                <w:rFonts w:ascii="Times New Roman" w:hAnsi="Times New Roman" w:cs="Times New Roman"/>
                                <w:noProof/>
                                <w:color w:val="auto"/>
                                <w:sz w:val="20"/>
                                <w:szCs w:val="20"/>
                                <w:lang w:val="en-US"/>
                              </w:rPr>
                            </w:pPr>
                          </w:p>
                        </w:txbxContent>
                      </v:textbox>
                      <w10:anchorlock/>
                    </v:rect>
                  </w:pict>
                </mc:Fallback>
              </mc:AlternateContent>
            </w:r>
            <w:r w:rsidRPr="002D3C93">
              <w:rPr>
                <w:rFonts w:ascii="Arial" w:eastAsia="ヒラギノ角ゴ Pro W3" w:hAnsi="Arial" w:cs="Arial"/>
                <w:lang w:val="es-ES"/>
              </w:rPr>
              <w:t xml:space="preserve"> Afecta a los presupuestos de la Administración del Estado.</w:t>
            </w:r>
          </w:p>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noProof/>
                <w:lang w:val="es-ES"/>
              </w:rPr>
              <mc:AlternateContent>
                <mc:Choice Requires="wps">
                  <w:drawing>
                    <wp:inline distT="0" distB="0" distL="0" distR="0" wp14:anchorId="50ADDF13" wp14:editId="3953B930">
                      <wp:extent cx="165100" cy="177800"/>
                      <wp:effectExtent l="0" t="0" r="25400" b="12700"/>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547B" w:rsidRDefault="00A5547B" w:rsidP="00A5547B">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50ADDF13" id="Rectangle 7" o:sp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SC6W7WwCAAD7BAAADgAAAAAAAAAAAAAAAAAuAgAA&#10;ZHJzL2Uyb0RvYy54bWxQSwECLQAUAAYACAAAACEAr/YCoNoAAAADAQAADwAAAAAAAAAAAAAAAADG&#10;BAAAZHJzL2Rvd25yZXYueG1sUEsFBgAAAAAEAAQA8wAAAM0FAAAAAA==&#10;" filled="f" strokeweight="1pt">
                      <v:path arrowok="t"/>
                      <v:textbox inset="8pt,8pt,8pt,8pt">
                        <w:txbxContent>
                          <w:p w:rsidR="00A5547B" w:rsidRDefault="00A5547B" w:rsidP="00A5547B">
                            <w:pPr>
                              <w:pStyle w:val="Formatolibre"/>
                              <w:rPr>
                                <w:rFonts w:ascii="Times New Roman" w:hAnsi="Times New Roman" w:cs="Times New Roman"/>
                                <w:noProof/>
                                <w:color w:val="auto"/>
                                <w:sz w:val="20"/>
                                <w:szCs w:val="20"/>
                                <w:lang w:val="en-US"/>
                              </w:rPr>
                            </w:pPr>
                          </w:p>
                        </w:txbxContent>
                      </v:textbox>
                      <w10:anchorlock/>
                    </v:rect>
                  </w:pict>
                </mc:Fallback>
              </mc:AlternateContent>
            </w:r>
            <w:r w:rsidRPr="002D3C93">
              <w:rPr>
                <w:rFonts w:ascii="Arial" w:eastAsia="ヒラギノ角ゴ Pro W3" w:hAnsi="Arial" w:cs="Arial"/>
                <w:lang w:val="es-ES"/>
              </w:rPr>
              <w:t xml:space="preserve"> Afecta a los presupuestos de otras Administraciones Territoriales.</w:t>
            </w:r>
          </w:p>
        </w:tc>
        <w:tc>
          <w:tcPr>
            <w:tcW w:w="4101" w:type="dxa"/>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noProof/>
                <w:lang w:val="es-ES"/>
              </w:rPr>
              <mc:AlternateContent>
                <mc:Choice Requires="wps">
                  <w:drawing>
                    <wp:inline distT="0" distB="0" distL="0" distR="0" wp14:anchorId="5BF445BF" wp14:editId="45248C06">
                      <wp:extent cx="165100" cy="177800"/>
                      <wp:effectExtent l="0" t="0" r="25400" b="12700"/>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547B" w:rsidRDefault="00A5547B" w:rsidP="00A5547B">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5BF445BF" id="Rectangle 6" o:sp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" filled="f" strokeweight="1pt">
                      <v:path arrowok="t"/>
                      <v:textbox inset="8pt,8pt,8pt,8pt">
                        <w:txbxContent>
                          <w:p w:rsidR="00A5547B" w:rsidRDefault="00A5547B" w:rsidP="00A5547B">
                            <w:pPr>
                              <w:pStyle w:val="Formatolibre"/>
                              <w:rPr>
                                <w:rFonts w:ascii="Times New Roman" w:hAnsi="Times New Roman" w:cs="Times New Roman"/>
                                <w:noProof/>
                                <w:color w:val="auto"/>
                                <w:sz w:val="20"/>
                                <w:szCs w:val="20"/>
                                <w:lang w:val="en-US"/>
                              </w:rPr>
                            </w:pPr>
                          </w:p>
                        </w:txbxContent>
                      </v:textbox>
                      <w10:anchorlock/>
                    </v:rect>
                  </w:pict>
                </mc:Fallback>
              </mc:AlternateContent>
            </w:r>
            <w:r w:rsidRPr="002D3C93">
              <w:rPr>
                <w:rFonts w:ascii="Arial" w:eastAsia="ヒラギノ角ゴ Pro W3" w:hAnsi="Arial" w:cs="Arial"/>
                <w:lang w:val="es-ES"/>
              </w:rPr>
              <w:t xml:space="preserve"> </w:t>
            </w:r>
            <w:r w:rsidR="00457944">
              <w:rPr>
                <w:rFonts w:ascii="Arial" w:eastAsia="ヒラギノ角ゴ Pro W3" w:hAnsi="Arial" w:cs="Arial"/>
                <w:lang w:val="es-ES"/>
              </w:rPr>
              <w:t>Implica un gasto</w:t>
            </w:r>
          </w:p>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noProof/>
                <w:lang w:val="es-ES"/>
              </w:rPr>
              <mc:AlternateContent>
                <mc:Choice Requires="wps">
                  <w:drawing>
                    <wp:inline distT="0" distB="0" distL="0" distR="0" wp14:anchorId="261CA1A4" wp14:editId="3371D3CA">
                      <wp:extent cx="165100" cy="177800"/>
                      <wp:effectExtent l="0" t="0" r="25400" b="12700"/>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547B" w:rsidRDefault="00A5547B" w:rsidP="00A5547B">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261CA1A4" id="Rectangle 5" o:sp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" filled="f" strokeweight="1pt">
                      <v:path arrowok="t"/>
                      <v:textbox inset="8pt,8pt,8pt,8pt">
                        <w:txbxContent>
                          <w:p w:rsidR="00A5547B" w:rsidRDefault="00A5547B" w:rsidP="00A5547B">
                            <w:pPr>
                              <w:pStyle w:val="Formatolibre"/>
                              <w:rPr>
                                <w:rFonts w:ascii="Times New Roman" w:hAnsi="Times New Roman" w:cs="Times New Roman"/>
                                <w:noProof/>
                                <w:color w:val="auto"/>
                                <w:sz w:val="20"/>
                                <w:szCs w:val="20"/>
                                <w:lang w:val="en-US"/>
                              </w:rPr>
                            </w:pPr>
                          </w:p>
                        </w:txbxContent>
                      </v:textbox>
                      <w10:anchorlock/>
                    </v:rect>
                  </w:pict>
                </mc:Fallback>
              </mc:AlternateContent>
            </w:r>
            <w:r w:rsidRPr="002D3C93">
              <w:rPr>
                <w:rFonts w:ascii="Arial" w:eastAsia="ヒラギノ角ゴ Pro W3" w:hAnsi="Arial" w:cs="Arial"/>
                <w:lang w:val="es-ES"/>
              </w:rPr>
              <w:t xml:space="preserve"> Implica un ingreso. </w:t>
            </w:r>
          </w:p>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p>
        </w:tc>
      </w:tr>
      <w:tr w:rsidR="00A5547B" w:rsidRPr="002D3C93" w:rsidTr="00C0148A">
        <w:trPr>
          <w:cantSplit/>
          <w:trHeight w:val="801"/>
          <w:jc w:val="center"/>
        </w:trPr>
        <w:tc>
          <w:tcPr>
            <w:tcW w:w="2269"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sidRPr="002D3C93">
              <w:rPr>
                <w:rFonts w:ascii="Arial" w:eastAsia="ヒラギノ角ゴ Pro W3" w:hAnsi="Arial" w:cs="Arial"/>
                <w:b/>
                <w:bCs/>
                <w:lang w:val="es-ES"/>
              </w:rPr>
              <w:t>Impacto de género</w:t>
            </w:r>
          </w:p>
        </w:tc>
        <w:tc>
          <w:tcPr>
            <w:tcW w:w="3168"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2D3C93">
              <w:rPr>
                <w:rFonts w:ascii="Arial" w:eastAsia="ヒラギノ角ゴ Pro W3" w:hAnsi="Arial" w:cs="Arial"/>
                <w:lang w:val="es-ES"/>
              </w:rPr>
              <w:t>La norma tiene un impacto de género</w:t>
            </w:r>
          </w:p>
        </w:tc>
        <w:tc>
          <w:tcPr>
            <w:tcW w:w="4101" w:type="dxa"/>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rsidR="00A5547B" w:rsidRPr="002D3C93" w:rsidRDefault="00A5547B" w:rsidP="0045794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rPr>
                <w:rFonts w:ascii="Arial" w:eastAsia="ヒラギノ角ゴ Pro W3" w:hAnsi="Arial" w:cs="Arial"/>
                <w:lang w:val="es-ES"/>
              </w:rPr>
            </w:pPr>
            <w:r w:rsidRPr="002D3C93">
              <w:rPr>
                <w:rFonts w:ascii="Arial" w:eastAsia="ヒラギノ角ゴ Pro W3" w:hAnsi="Arial" w:cs="Arial"/>
                <w:lang w:val="es-ES"/>
              </w:rPr>
              <w:t xml:space="preserve">Negativo  </w:t>
            </w:r>
            <w:r w:rsidRPr="002D3C93">
              <w:rPr>
                <w:noProof/>
                <w:lang w:val="es-ES"/>
              </w:rPr>
              <mc:AlternateContent>
                <mc:Choice Requires="wps">
                  <w:drawing>
                    <wp:inline distT="0" distB="0" distL="0" distR="0" wp14:anchorId="30D6C39A" wp14:editId="3A1AAEE8">
                      <wp:extent cx="165100" cy="177800"/>
                      <wp:effectExtent l="0" t="0" r="25400" b="12700"/>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547B" w:rsidRDefault="00A5547B" w:rsidP="00A5547B">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30D6C39A" id="Rectangle 4" o:sp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iNPveWwCAAD8BAAADgAAAAAAAAAAAAAAAAAuAgAA&#10;ZHJzL2Uyb0RvYy54bWxQSwECLQAUAAYACAAAACEAr/YCoNoAAAADAQAADwAAAAAAAAAAAAAAAADG&#10;BAAAZHJzL2Rvd25yZXYueG1sUEsFBgAAAAAEAAQA8wAAAM0FAAAAAA==&#10;" filled="f" strokeweight="1pt">
                      <v:path arrowok="t"/>
                      <v:textbox inset="8pt,8pt,8pt,8pt">
                        <w:txbxContent>
                          <w:p w:rsidR="00A5547B" w:rsidRDefault="00A5547B" w:rsidP="00A5547B">
                            <w:pPr>
                              <w:pStyle w:val="Formatolibre"/>
                              <w:rPr>
                                <w:rFonts w:ascii="Times New Roman" w:hAnsi="Times New Roman" w:cs="Times New Roman"/>
                                <w:noProof/>
                                <w:color w:val="auto"/>
                                <w:sz w:val="20"/>
                                <w:szCs w:val="20"/>
                                <w:lang w:val="en-US"/>
                              </w:rPr>
                            </w:pPr>
                          </w:p>
                        </w:txbxContent>
                      </v:textbox>
                      <w10:anchorlock/>
                    </v:rect>
                  </w:pict>
                </mc:Fallback>
              </mc:AlternateContent>
            </w:r>
            <w:r w:rsidR="00457944">
              <w:rPr>
                <w:rFonts w:ascii="Arial" w:eastAsia="ヒラギノ角ゴ Pro W3" w:hAnsi="Arial" w:cs="Arial"/>
                <w:lang w:val="es-ES"/>
              </w:rPr>
              <w:t xml:space="preserve">    </w:t>
            </w:r>
            <w:r w:rsidRPr="002D3C93">
              <w:rPr>
                <w:rFonts w:ascii="Arial" w:eastAsia="ヒラギノ角ゴ Pro W3" w:hAnsi="Arial" w:cs="Arial"/>
                <w:lang w:val="es-ES"/>
              </w:rPr>
              <w:t xml:space="preserve">Nulo    </w:t>
            </w:r>
            <w:r w:rsidRPr="002D3C93">
              <w:rPr>
                <w:noProof/>
                <w:lang w:val="es-ES"/>
              </w:rPr>
              <mc:AlternateContent>
                <mc:Choice Requires="wps">
                  <w:drawing>
                    <wp:inline distT="0" distB="0" distL="0" distR="0" wp14:anchorId="2CB4CA75" wp14:editId="2EC7AB9E">
                      <wp:extent cx="165100" cy="177800"/>
                      <wp:effectExtent l="0" t="0" r="25400" b="12700"/>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pattFill prst="wdDnDiag">
                                <a:fgClr>
                                  <a:srgbClr val="000000"/>
                                </a:fgClr>
                                <a:bgClr>
                                  <a:srgbClr val="FFFFFF"/>
                                </a:bgClr>
                              </a:pattFill>
                              <a:ln w="12700">
                                <a:solidFill>
                                  <a:srgbClr val="000000"/>
                                </a:solidFill>
                                <a:miter lim="800000"/>
                                <a:headEnd/>
                                <a:tailEnd/>
                              </a:ln>
                            </wps:spPr>
                            <wps:txbx>
                              <w:txbxContent>
                                <w:p w:rsidR="00A5547B" w:rsidRDefault="00A5547B" w:rsidP="00A5547B">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2CB4CA75" id="Rectangle 3" o:spid="_x0000_s103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" fillcolor="black" strokeweight="1pt">
                      <v:fill r:id="rId13" o:title="" type="pattern"/>
                      <v:path arrowok="t"/>
                      <v:textbox inset="8pt,8pt,8pt,8pt">
                        <w:txbxContent>
                          <w:p w:rsidR="00A5547B" w:rsidRDefault="00A5547B" w:rsidP="00A5547B">
                            <w:pPr>
                              <w:pStyle w:val="Formatolibre"/>
                              <w:rPr>
                                <w:rFonts w:ascii="Times New Roman" w:hAnsi="Times New Roman" w:cs="Times New Roman"/>
                                <w:noProof/>
                                <w:color w:val="auto"/>
                                <w:sz w:val="20"/>
                                <w:szCs w:val="20"/>
                                <w:lang w:val="en-US"/>
                              </w:rPr>
                            </w:pPr>
                          </w:p>
                        </w:txbxContent>
                      </v:textbox>
                      <w10:anchorlock/>
                    </v:rect>
                  </w:pict>
                </mc:Fallback>
              </mc:AlternateContent>
            </w:r>
            <w:r w:rsidR="00457944">
              <w:rPr>
                <w:rFonts w:ascii="Arial" w:eastAsia="ヒラギノ角ゴ Pro W3" w:hAnsi="Arial" w:cs="Arial"/>
                <w:lang w:val="es-ES"/>
              </w:rPr>
              <w:t xml:space="preserve">    </w:t>
            </w:r>
            <w:r w:rsidRPr="002D3C93">
              <w:rPr>
                <w:rFonts w:ascii="Arial" w:eastAsia="ヒラギノ角ゴ Pro W3" w:hAnsi="Arial" w:cs="Arial"/>
                <w:lang w:val="es-ES"/>
              </w:rPr>
              <w:t xml:space="preserve">Positivo   </w:t>
            </w:r>
            <w:r w:rsidRPr="002D3C93">
              <w:rPr>
                <w:noProof/>
                <w:lang w:val="es-ES"/>
              </w:rPr>
              <mc:AlternateContent>
                <mc:Choice Requires="wps">
                  <w:drawing>
                    <wp:inline distT="0" distB="0" distL="0" distR="0" wp14:anchorId="3D0FA052" wp14:editId="1B862E0D">
                      <wp:extent cx="165100" cy="177800"/>
                      <wp:effectExtent l="0" t="0" r="25400" b="12700"/>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547B" w:rsidRDefault="00A5547B" w:rsidP="00A5547B">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3D0FA052" id="Rectangle 2" o:spid="_x0000_s104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m79dk2wCAAD8BAAADgAAAAAAAAAAAAAAAAAuAgAA&#10;ZHJzL2Uyb0RvYy54bWxQSwECLQAUAAYACAAAACEAr/YCoNoAAAADAQAADwAAAAAAAAAAAAAAAADG&#10;BAAAZHJzL2Rvd25yZXYueG1sUEsFBgAAAAAEAAQA8wAAAM0FAAAAAA==&#10;" filled="f" strokeweight="1pt">
                      <v:path arrowok="t"/>
                      <v:textbox inset="8pt,8pt,8pt,8pt">
                        <w:txbxContent>
                          <w:p w:rsidR="00A5547B" w:rsidRDefault="00A5547B" w:rsidP="00A5547B">
                            <w:pPr>
                              <w:pStyle w:val="Formatolibre"/>
                              <w:rPr>
                                <w:rFonts w:ascii="Times New Roman" w:hAnsi="Times New Roman" w:cs="Times New Roman"/>
                                <w:noProof/>
                                <w:color w:val="auto"/>
                                <w:sz w:val="20"/>
                                <w:szCs w:val="20"/>
                                <w:lang w:val="en-US"/>
                              </w:rPr>
                            </w:pPr>
                          </w:p>
                        </w:txbxContent>
                      </v:textbox>
                      <w10:anchorlock/>
                    </v:rect>
                  </w:pict>
                </mc:Fallback>
              </mc:AlternateContent>
            </w:r>
          </w:p>
        </w:tc>
      </w:tr>
      <w:tr w:rsidR="00457944" w:rsidRPr="002D3C93" w:rsidTr="00C0148A">
        <w:trPr>
          <w:cantSplit/>
          <w:trHeight w:val="801"/>
          <w:jc w:val="center"/>
        </w:trPr>
        <w:tc>
          <w:tcPr>
            <w:tcW w:w="2269"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457944" w:rsidRPr="002D3C93" w:rsidRDefault="00457944"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314"/>
              <w:rPr>
                <w:rFonts w:ascii="Arial" w:eastAsia="ヒラギノ角ゴ Pro W3" w:hAnsi="Arial" w:cs="Arial"/>
                <w:b/>
                <w:bCs/>
                <w:lang w:val="es-ES"/>
              </w:rPr>
            </w:pPr>
            <w:r>
              <w:rPr>
                <w:rFonts w:ascii="Arial" w:eastAsia="ヒラギノ角ゴ Pro W3" w:hAnsi="Arial" w:cs="Arial"/>
                <w:b/>
                <w:bCs/>
                <w:lang w:val="es-ES"/>
              </w:rPr>
              <w:lastRenderedPageBreak/>
              <w:t>Impacto digital</w:t>
            </w:r>
          </w:p>
        </w:tc>
        <w:tc>
          <w:tcPr>
            <w:tcW w:w="3168"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457944" w:rsidRPr="002D3C93" w:rsidRDefault="00457944"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480"/>
              <w:rPr>
                <w:rFonts w:ascii="Arial" w:eastAsia="ヒラギノ角ゴ Pro W3" w:hAnsi="Arial" w:cs="Arial"/>
                <w:lang w:val="es-ES"/>
              </w:rPr>
            </w:pPr>
            <w:r w:rsidRPr="00457944">
              <w:rPr>
                <w:rFonts w:ascii="Arial" w:eastAsia="ヒラギノ角ゴ Pro W3" w:hAnsi="Arial" w:cs="Arial"/>
                <w:lang w:val="es-ES"/>
              </w:rPr>
              <w:t>La norma tiene un impacto para la ciudadanía y la Administración, por el desarrollo y uso de los medios y servicios de la Administración digital</w:t>
            </w:r>
          </w:p>
        </w:tc>
        <w:tc>
          <w:tcPr>
            <w:tcW w:w="4101" w:type="dxa"/>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rsidR="00457944" w:rsidRPr="002D3C93" w:rsidRDefault="00457944" w:rsidP="0045794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rPr>
                <w:rFonts w:ascii="Arial" w:eastAsia="ヒラギノ角ゴ Pro W3" w:hAnsi="Arial" w:cs="Arial"/>
                <w:lang w:val="es-ES"/>
              </w:rPr>
            </w:pPr>
            <w:r w:rsidRPr="002D3C93">
              <w:rPr>
                <w:rFonts w:ascii="Arial" w:eastAsia="ヒラギノ角ゴ Pro W3" w:hAnsi="Arial" w:cs="Arial"/>
                <w:lang w:val="es-ES"/>
              </w:rPr>
              <w:t xml:space="preserve">Negativo  </w:t>
            </w:r>
            <w:r w:rsidRPr="002D3C93">
              <w:rPr>
                <w:noProof/>
                <w:lang w:val="es-ES"/>
              </w:rPr>
              <mc:AlternateContent>
                <mc:Choice Requires="wps">
                  <w:drawing>
                    <wp:inline distT="0" distB="0" distL="0" distR="0" wp14:anchorId="590E7DBF" wp14:editId="1BFAF137">
                      <wp:extent cx="165100" cy="177800"/>
                      <wp:effectExtent l="0" t="0" r="25400" b="12700"/>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7944" w:rsidRDefault="00457944" w:rsidP="00457944">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590E7DBF" id="_x0000_s104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GJrrpWwCAAD8BAAADgAAAAAAAAAAAAAAAAAuAgAA&#10;ZHJzL2Uyb0RvYy54bWxQSwECLQAUAAYACAAAACEAr/YCoNoAAAADAQAADwAAAAAAAAAAAAAAAADG&#10;BAAAZHJzL2Rvd25yZXYueG1sUEsFBgAAAAAEAAQA8wAAAM0FAAAAAA==&#10;" filled="f" strokeweight="1pt">
                      <v:path arrowok="t"/>
                      <v:textbox inset="8pt,8pt,8pt,8pt">
                        <w:txbxContent>
                          <w:p w:rsidR="00457944" w:rsidRDefault="00457944" w:rsidP="00457944">
                            <w:pPr>
                              <w:pStyle w:val="Formatolibre"/>
                              <w:rPr>
                                <w:rFonts w:ascii="Times New Roman" w:hAnsi="Times New Roman" w:cs="Times New Roman"/>
                                <w:noProof/>
                                <w:color w:val="auto"/>
                                <w:sz w:val="20"/>
                                <w:szCs w:val="20"/>
                                <w:lang w:val="en-US"/>
                              </w:rPr>
                            </w:pPr>
                          </w:p>
                        </w:txbxContent>
                      </v:textbox>
                      <w10:anchorlock/>
                    </v:rect>
                  </w:pict>
                </mc:Fallback>
              </mc:AlternateContent>
            </w:r>
            <w:r>
              <w:rPr>
                <w:rFonts w:ascii="Arial" w:eastAsia="ヒラギノ角ゴ Pro W3" w:hAnsi="Arial" w:cs="Arial"/>
                <w:lang w:val="es-ES"/>
              </w:rPr>
              <w:t xml:space="preserve">    </w:t>
            </w:r>
            <w:r w:rsidRPr="002D3C93">
              <w:rPr>
                <w:rFonts w:ascii="Arial" w:eastAsia="ヒラギノ角ゴ Pro W3" w:hAnsi="Arial" w:cs="Arial"/>
                <w:lang w:val="es-ES"/>
              </w:rPr>
              <w:t xml:space="preserve">Nulo    </w:t>
            </w:r>
            <w:r w:rsidRPr="002D3C93">
              <w:rPr>
                <w:noProof/>
                <w:lang w:val="es-ES"/>
              </w:rPr>
              <mc:AlternateContent>
                <mc:Choice Requires="wps">
                  <w:drawing>
                    <wp:inline distT="0" distB="0" distL="0" distR="0" wp14:anchorId="050482E2" wp14:editId="191DB88C">
                      <wp:extent cx="165100" cy="177800"/>
                      <wp:effectExtent l="0" t="0" r="25400" b="12700"/>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pattFill prst="wdDnDiag">
                                <a:fgClr>
                                  <a:srgbClr val="000000"/>
                                </a:fgClr>
                                <a:bgClr>
                                  <a:srgbClr val="FFFFFF"/>
                                </a:bgClr>
                              </a:pattFill>
                              <a:ln w="12700">
                                <a:solidFill>
                                  <a:srgbClr val="000000"/>
                                </a:solidFill>
                                <a:miter lim="800000"/>
                                <a:headEnd/>
                                <a:tailEnd/>
                              </a:ln>
                            </wps:spPr>
                            <wps:txbx>
                              <w:txbxContent>
                                <w:p w:rsidR="00457944" w:rsidRDefault="00457944" w:rsidP="00457944">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050482E2" id="_x0000_s104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" fillcolor="black" strokeweight="1pt">
                      <v:fill r:id="rId13" o:title="" type="pattern"/>
                      <v:path arrowok="t"/>
                      <v:textbox inset="8pt,8pt,8pt,8pt">
                        <w:txbxContent>
                          <w:p w:rsidR="00457944" w:rsidRDefault="00457944" w:rsidP="00457944">
                            <w:pPr>
                              <w:pStyle w:val="Formatolibre"/>
                              <w:rPr>
                                <w:rFonts w:ascii="Times New Roman" w:hAnsi="Times New Roman" w:cs="Times New Roman"/>
                                <w:noProof/>
                                <w:color w:val="auto"/>
                                <w:sz w:val="20"/>
                                <w:szCs w:val="20"/>
                                <w:lang w:val="en-US"/>
                              </w:rPr>
                            </w:pPr>
                          </w:p>
                        </w:txbxContent>
                      </v:textbox>
                      <w10:anchorlock/>
                    </v:rect>
                  </w:pict>
                </mc:Fallback>
              </mc:AlternateContent>
            </w:r>
            <w:r>
              <w:rPr>
                <w:rFonts w:ascii="Arial" w:eastAsia="ヒラギノ角ゴ Pro W3" w:hAnsi="Arial" w:cs="Arial"/>
                <w:lang w:val="es-ES"/>
              </w:rPr>
              <w:t xml:space="preserve">    </w:t>
            </w:r>
            <w:r w:rsidRPr="002D3C93">
              <w:rPr>
                <w:rFonts w:ascii="Arial" w:eastAsia="ヒラギノ角ゴ Pro W3" w:hAnsi="Arial" w:cs="Arial"/>
                <w:lang w:val="es-ES"/>
              </w:rPr>
              <w:t xml:space="preserve">Positivo   </w:t>
            </w:r>
            <w:r w:rsidRPr="002D3C93">
              <w:rPr>
                <w:noProof/>
                <w:lang w:val="es-ES"/>
              </w:rPr>
              <mc:AlternateContent>
                <mc:Choice Requires="wps">
                  <w:drawing>
                    <wp:inline distT="0" distB="0" distL="0" distR="0" wp14:anchorId="243D9F4A" wp14:editId="6B1497D9">
                      <wp:extent cx="165100" cy="177800"/>
                      <wp:effectExtent l="0" t="0" r="25400" b="12700"/>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7944" w:rsidRDefault="00457944" w:rsidP="00457944">
                                  <w:pPr>
                                    <w:pStyle w:val="Formatolibre"/>
                                    <w:rPr>
                                      <w:rFonts w:ascii="Times New Roman" w:hAnsi="Times New Roman" w:cs="Times New Roman"/>
                                      <w:noProof/>
                                      <w:color w:val="auto"/>
                                      <w:sz w:val="20"/>
                                      <w:szCs w:val="20"/>
                                      <w:lang w:val="en-US"/>
                                    </w:rPr>
                                  </w:pPr>
                                </w:p>
                              </w:txbxContent>
                            </wps:txbx>
                            <wps:bodyPr rot="0" vert="horz" wrap="square" lIns="101600" tIns="101600" rIns="101600" bIns="101600" anchor="t" anchorCtr="0" upright="1">
                              <a:noAutofit/>
                            </wps:bodyPr>
                          </wps:wsp>
                        </a:graphicData>
                      </a:graphic>
                    </wp:inline>
                  </w:drawing>
                </mc:Choice>
                <mc:Fallback>
                  <w:pict>
                    <v:rect w14:anchorId="243D9F4A" id="_x0000_s104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D7XzCzawIAAPwEAAAOAAAAAAAAAAAAAAAAAC4CAABk&#10;cnMvZTJvRG9jLnhtbFBLAQItABQABgAIAAAAIQCv9gKg2gAAAAMBAAAPAAAAAAAAAAAAAAAAAMUE&#10;AABkcnMvZG93bnJldi54bWxQSwUGAAAAAAQABADzAAAAzAUAAAAA&#10;" filled="f" strokeweight="1pt">
                      <v:path arrowok="t"/>
                      <v:textbox inset="8pt,8pt,8pt,8pt">
                        <w:txbxContent>
                          <w:p w:rsidR="00457944" w:rsidRDefault="00457944" w:rsidP="00457944">
                            <w:pPr>
                              <w:pStyle w:val="Formatolibre"/>
                              <w:rPr>
                                <w:rFonts w:ascii="Times New Roman" w:hAnsi="Times New Roman" w:cs="Times New Roman"/>
                                <w:noProof/>
                                <w:color w:val="auto"/>
                                <w:sz w:val="20"/>
                                <w:szCs w:val="20"/>
                                <w:lang w:val="en-US"/>
                              </w:rPr>
                            </w:pPr>
                          </w:p>
                        </w:txbxContent>
                      </v:textbox>
                      <w10:anchorlock/>
                    </v:rect>
                  </w:pict>
                </mc:Fallback>
              </mc:AlternateContent>
            </w:r>
          </w:p>
        </w:tc>
      </w:tr>
      <w:tr w:rsidR="00A5547B" w:rsidRPr="002D3C93" w:rsidTr="00C0148A">
        <w:trPr>
          <w:cantSplit/>
          <w:trHeight w:val="1262"/>
          <w:jc w:val="center"/>
        </w:trPr>
        <w:tc>
          <w:tcPr>
            <w:tcW w:w="2269" w:type="dxa"/>
            <w:tcBorders>
              <w:top w:val="single" w:sz="16" w:space="0" w:color="000000"/>
              <w:left w:val="single" w:sz="32" w:space="0" w:color="000000"/>
              <w:bottom w:val="single" w:sz="32" w:space="0" w:color="000000"/>
              <w:right w:val="single" w:sz="16" w:space="0" w:color="000000"/>
            </w:tcBorders>
            <w:shd w:val="clear" w:color="auto" w:fill="E3DFA6"/>
            <w:tcMar>
              <w:top w:w="100" w:type="dxa"/>
              <w:left w:w="100" w:type="dxa"/>
              <w:bottom w:w="100" w:type="dxa"/>
              <w:right w:w="100" w:type="dxa"/>
            </w:tcMar>
          </w:tcPr>
          <w:p w:rsidR="00A5547B" w:rsidRPr="002D3C93" w:rsidRDefault="00A5547B" w:rsidP="00C0148A">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line="336" w:lineRule="auto"/>
              <w:ind w:left="286"/>
              <w:rPr>
                <w:rFonts w:ascii="Arial" w:eastAsia="ヒラギノ角ゴ Pro W3" w:hAnsi="Arial" w:cs="Arial"/>
                <w:b/>
                <w:bCs/>
                <w:lang w:val="es-ES"/>
              </w:rPr>
            </w:pPr>
            <w:r w:rsidRPr="002D3C93">
              <w:rPr>
                <w:rFonts w:ascii="Arial" w:eastAsia="ヒラギノ角ゴ Pro W3" w:hAnsi="Arial" w:cs="Arial"/>
                <w:b/>
                <w:bCs/>
                <w:lang w:val="es-ES"/>
              </w:rPr>
              <w:t>Otras consideraciones</w:t>
            </w:r>
          </w:p>
        </w:tc>
        <w:tc>
          <w:tcPr>
            <w:tcW w:w="7269" w:type="dxa"/>
            <w:gridSpan w:val="2"/>
            <w:tcBorders>
              <w:top w:val="single" w:sz="16" w:space="0" w:color="000000"/>
              <w:left w:val="single" w:sz="16" w:space="0" w:color="000000"/>
              <w:bottom w:val="single" w:sz="32" w:space="0" w:color="000000"/>
              <w:right w:val="single" w:sz="32" w:space="0" w:color="000000"/>
            </w:tcBorders>
            <w:shd w:val="clear" w:color="auto" w:fill="EEFFEB"/>
            <w:tcMar>
              <w:top w:w="100" w:type="dxa"/>
              <w:left w:w="100" w:type="dxa"/>
              <w:bottom w:w="100" w:type="dxa"/>
              <w:right w:w="100" w:type="dxa"/>
            </w:tcMar>
          </w:tcPr>
          <w:p w:rsidR="00A5547B" w:rsidRPr="00F712B6" w:rsidRDefault="00457944" w:rsidP="00C0148A">
            <w:pPr>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ind w:left="480"/>
              <w:rPr>
                <w:rFonts w:ascii="Arial" w:eastAsia="ヒラギノ角ゴ Pro W3" w:hAnsi="Arial" w:cs="Arial"/>
                <w:lang w:val="es-ES"/>
              </w:rPr>
            </w:pPr>
            <w:r>
              <w:rPr>
                <w:rFonts w:ascii="Arial" w:eastAsia="ヒラギノ角ゴ Pro W3" w:hAnsi="Arial" w:cs="Arial"/>
                <w:lang w:val="es-ES"/>
              </w:rPr>
              <w:t>Ninguna.</w:t>
            </w:r>
          </w:p>
          <w:p w:rsidR="00A5547B" w:rsidRPr="002D3C93" w:rsidRDefault="00A5547B" w:rsidP="00C0148A">
            <w:pPr>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200" w:after="80"/>
              <w:ind w:left="480"/>
              <w:rPr>
                <w:rFonts w:ascii="Arial" w:eastAsia="ヒラギノ角ゴ Pro W3" w:hAnsi="Arial" w:cs="Arial"/>
                <w:lang w:val="es-ES"/>
              </w:rPr>
            </w:pPr>
          </w:p>
        </w:tc>
      </w:tr>
    </w:tbl>
    <w:p w:rsidR="00A5547B" w:rsidRPr="00F712B6" w:rsidRDefault="00A5547B" w:rsidP="00A5547B">
      <w:pPr>
        <w:ind w:left="480"/>
        <w:rPr>
          <w:rFonts w:ascii="Arial" w:hAnsi="Arial" w:cs="Arial"/>
          <w:b/>
          <w:bCs/>
          <w:lang w:val="es-ES"/>
        </w:rPr>
      </w:pPr>
    </w:p>
    <w:p w:rsidR="00A5547B" w:rsidRPr="00F712B6" w:rsidRDefault="00A5547B" w:rsidP="00A5547B">
      <w:pPr>
        <w:ind w:left="480"/>
        <w:rPr>
          <w:rFonts w:ascii="Arial" w:hAnsi="Arial" w:cs="Arial"/>
          <w:b/>
          <w:bCs/>
          <w:lang w:val="es-ES"/>
        </w:rPr>
      </w:pPr>
    </w:p>
    <w:p w:rsidR="00A5547B" w:rsidRDefault="00A5547B" w:rsidP="00A5547B">
      <w:pPr>
        <w:rPr>
          <w:rFonts w:ascii="Arial" w:hAnsi="Arial" w:cs="Arial"/>
          <w:b/>
          <w:bCs/>
          <w:lang w:val="es-ES"/>
        </w:rPr>
      </w:pPr>
      <w:r w:rsidRPr="00F712B6">
        <w:rPr>
          <w:rFonts w:ascii="Arial" w:hAnsi="Arial" w:cs="Arial"/>
          <w:b/>
          <w:bCs/>
          <w:lang w:val="es-ES"/>
        </w:rPr>
        <w:br w:type="page"/>
      </w:r>
    </w:p>
    <w:p w:rsidR="007A7D70" w:rsidRDefault="007A7D70" w:rsidP="00A5547B">
      <w:pPr>
        <w:rPr>
          <w:rFonts w:ascii="Arial" w:hAnsi="Arial" w:cs="Arial"/>
          <w:b/>
          <w:bCs/>
          <w:lang w:val="es-ES"/>
        </w:rPr>
      </w:pPr>
    </w:p>
    <w:p w:rsidR="00476958" w:rsidRPr="00F712B6" w:rsidRDefault="00476958" w:rsidP="00A5547B">
      <w:pPr>
        <w:rPr>
          <w:rFonts w:ascii="Arial" w:hAnsi="Arial" w:cs="Arial"/>
          <w:b/>
          <w:bCs/>
          <w:lang w:val="es-ES"/>
        </w:rPr>
      </w:pPr>
    </w:p>
    <w:p w:rsidR="00476958" w:rsidRDefault="00476958" w:rsidP="00476958">
      <w:pPr>
        <w:pStyle w:val="Ttulo1"/>
        <w:numPr>
          <w:ilvl w:val="0"/>
          <w:numId w:val="24"/>
        </w:numPr>
        <w:rPr>
          <w:rFonts w:cs="Arial"/>
          <w:szCs w:val="24"/>
          <w:lang w:val="es-ES"/>
        </w:rPr>
      </w:pPr>
      <w:bookmarkStart w:id="2" w:name="_Toc83974156"/>
      <w:r>
        <w:rPr>
          <w:rFonts w:cs="Arial"/>
          <w:szCs w:val="24"/>
          <w:lang w:val="es-ES"/>
        </w:rPr>
        <w:t>MEMORIA</w:t>
      </w:r>
    </w:p>
    <w:p w:rsidR="00476958" w:rsidRPr="00476958" w:rsidRDefault="00476958" w:rsidP="00476958">
      <w:pPr>
        <w:pStyle w:val="Prrafodelista"/>
        <w:rPr>
          <w:lang w:val="es-ES"/>
        </w:rPr>
      </w:pPr>
    </w:p>
    <w:p w:rsidR="00A5547B" w:rsidRPr="00F712B6" w:rsidRDefault="00A5547B" w:rsidP="00A5547B">
      <w:pPr>
        <w:pStyle w:val="Ttulo1"/>
        <w:rPr>
          <w:rFonts w:cs="Arial"/>
          <w:szCs w:val="24"/>
          <w:lang w:val="es-ES"/>
        </w:rPr>
      </w:pPr>
      <w:r w:rsidRPr="00F712B6">
        <w:rPr>
          <w:rFonts w:cs="Arial"/>
          <w:szCs w:val="24"/>
          <w:lang w:val="es-ES"/>
        </w:rPr>
        <w:t>I. JUSTIFICACIÓN DEL CARÁCTER ABREVIADO DE LA MEMORIA</w:t>
      </w:r>
      <w:bookmarkEnd w:id="2"/>
    </w:p>
    <w:p w:rsidR="00476958" w:rsidRDefault="00476958" w:rsidP="00A5547B">
      <w:pPr>
        <w:spacing w:before="100" w:beforeAutospacing="1" w:after="100" w:afterAutospacing="1"/>
        <w:ind w:left="360" w:right="249"/>
        <w:jc w:val="both"/>
        <w:rPr>
          <w:rFonts w:ascii="Arial" w:hAnsi="Arial" w:cs="Arial"/>
          <w:sz w:val="22"/>
          <w:szCs w:val="22"/>
          <w:lang w:val="es-ES"/>
        </w:rPr>
      </w:pPr>
    </w:p>
    <w:p w:rsidR="00476958" w:rsidRPr="00476958" w:rsidRDefault="00476958" w:rsidP="005635AE">
      <w:pPr>
        <w:spacing w:before="100" w:beforeAutospacing="1" w:after="100" w:afterAutospacing="1"/>
        <w:ind w:right="249"/>
        <w:jc w:val="both"/>
        <w:rPr>
          <w:rFonts w:ascii="Arial" w:hAnsi="Arial" w:cs="Arial"/>
          <w:sz w:val="22"/>
          <w:szCs w:val="22"/>
          <w:lang w:val="es-ES"/>
        </w:rPr>
      </w:pPr>
      <w:r w:rsidRPr="00476958">
        <w:rPr>
          <w:rFonts w:ascii="Arial" w:hAnsi="Arial" w:cs="Arial"/>
          <w:sz w:val="22"/>
          <w:szCs w:val="22"/>
          <w:lang w:val="es-ES"/>
        </w:rPr>
        <w:t xml:space="preserve">El artículo 3 del Real Decreto 931/2017, de 27 de octubre, por el que se regula la Memoria del Análisis de Impacto Normativo, </w:t>
      </w:r>
      <w:r w:rsidR="00BB0C4A">
        <w:rPr>
          <w:rFonts w:ascii="Arial" w:hAnsi="Arial" w:cs="Arial"/>
          <w:sz w:val="22"/>
          <w:szCs w:val="22"/>
          <w:lang w:val="es-ES"/>
        </w:rPr>
        <w:t>prevé la realización de</w:t>
      </w:r>
      <w:r w:rsidRPr="00476958">
        <w:rPr>
          <w:rFonts w:ascii="Arial" w:hAnsi="Arial" w:cs="Arial"/>
          <w:sz w:val="22"/>
          <w:szCs w:val="22"/>
          <w:lang w:val="es-ES"/>
        </w:rPr>
        <w:t xml:space="preserve"> memoria abreviada, cuando se estime que de la propuesta normativa no se derivan impactos apreciables sobre el orden de distribución de competencias, impacto económico y presupuestario, cargas administrativas o impacto por razón de género, o cuando éstos no sean significativos.</w:t>
      </w:r>
    </w:p>
    <w:p w:rsidR="00476958" w:rsidRDefault="00476958" w:rsidP="005635AE">
      <w:pPr>
        <w:spacing w:before="100" w:beforeAutospacing="1" w:after="100" w:afterAutospacing="1"/>
        <w:ind w:right="249"/>
        <w:jc w:val="both"/>
        <w:rPr>
          <w:rFonts w:ascii="Arial" w:hAnsi="Arial" w:cs="Arial"/>
          <w:sz w:val="22"/>
          <w:szCs w:val="22"/>
          <w:lang w:val="es-ES"/>
        </w:rPr>
      </w:pPr>
      <w:r w:rsidRPr="00476958">
        <w:rPr>
          <w:rFonts w:ascii="Arial" w:hAnsi="Arial" w:cs="Arial"/>
          <w:sz w:val="22"/>
          <w:szCs w:val="22"/>
          <w:lang w:val="es-ES"/>
        </w:rPr>
        <w:t>La memoria se presenta en forma abreviada puesto que no se derivan de esta propuesta normativa impactos apreciables en los ámbitos afectados, según se hace constar a continuación.</w:t>
      </w:r>
    </w:p>
    <w:p w:rsidR="002373C1" w:rsidRDefault="002373C1" w:rsidP="005635AE">
      <w:pPr>
        <w:spacing w:before="100" w:beforeAutospacing="1" w:after="100" w:afterAutospacing="1"/>
        <w:ind w:right="249"/>
        <w:jc w:val="both"/>
        <w:rPr>
          <w:rFonts w:ascii="Arial" w:hAnsi="Arial" w:cs="Arial"/>
          <w:sz w:val="22"/>
          <w:szCs w:val="22"/>
          <w:lang w:val="es-ES"/>
        </w:rPr>
      </w:pPr>
    </w:p>
    <w:p w:rsidR="00BB0C4A" w:rsidRDefault="00BB0C4A" w:rsidP="00BB0C4A">
      <w:pPr>
        <w:pStyle w:val="Prrafodelista"/>
        <w:numPr>
          <w:ilvl w:val="0"/>
          <w:numId w:val="25"/>
        </w:numPr>
        <w:spacing w:before="100" w:beforeAutospacing="1" w:after="100" w:afterAutospacing="1"/>
        <w:ind w:right="249"/>
        <w:jc w:val="both"/>
        <w:rPr>
          <w:rFonts w:ascii="Arial" w:hAnsi="Arial" w:cs="Arial"/>
          <w:sz w:val="22"/>
          <w:szCs w:val="22"/>
          <w:lang w:val="es-ES"/>
        </w:rPr>
      </w:pPr>
      <w:r>
        <w:rPr>
          <w:rFonts w:ascii="Arial" w:hAnsi="Arial" w:cs="Arial"/>
          <w:sz w:val="22"/>
          <w:szCs w:val="22"/>
          <w:lang w:val="es-ES"/>
        </w:rPr>
        <w:t xml:space="preserve">El principal objetivo </w:t>
      </w:r>
      <w:r w:rsidR="007A7884">
        <w:rPr>
          <w:rFonts w:ascii="Arial" w:hAnsi="Arial" w:cs="Arial"/>
          <w:sz w:val="22"/>
          <w:szCs w:val="22"/>
          <w:lang w:val="es-ES"/>
        </w:rPr>
        <w:t xml:space="preserve">de la disposición normativa es la completa aplicación de la Convención en España, la cual ha sido modificada en su Anexo de Sustancias Químicas. Para incorporar las nuevas sustancias, es necesaria la </w:t>
      </w:r>
      <w:r w:rsidR="007A7884" w:rsidRPr="007A7884">
        <w:rPr>
          <w:rFonts w:ascii="Arial" w:hAnsi="Arial" w:cs="Arial"/>
          <w:sz w:val="22"/>
          <w:szCs w:val="22"/>
          <w:lang w:val="es-ES"/>
        </w:rPr>
        <w:t>modificación d</w:t>
      </w:r>
      <w:r w:rsidR="007A7D70" w:rsidRPr="007A7884">
        <w:rPr>
          <w:rFonts w:ascii="Arial" w:hAnsi="Arial" w:cs="Arial"/>
          <w:sz w:val="22"/>
          <w:szCs w:val="22"/>
          <w:lang w:val="es-ES"/>
        </w:rPr>
        <w:t xml:space="preserve">el Anexo I del </w:t>
      </w:r>
      <w:r w:rsidR="007A7D70">
        <w:rPr>
          <w:rFonts w:ascii="Arial" w:hAnsi="Arial" w:cs="Arial"/>
          <w:sz w:val="22"/>
          <w:szCs w:val="22"/>
          <w:lang w:val="es-ES"/>
        </w:rPr>
        <w:t xml:space="preserve">Real Decreto 78/2019 para </w:t>
      </w:r>
      <w:r>
        <w:rPr>
          <w:rFonts w:ascii="Arial" w:hAnsi="Arial" w:cs="Arial"/>
          <w:sz w:val="22"/>
          <w:szCs w:val="22"/>
          <w:lang w:val="es-ES"/>
        </w:rPr>
        <w:t xml:space="preserve">actualizar las sustancias sujetas a control dentro de la categoría de Lista 1. </w:t>
      </w:r>
    </w:p>
    <w:p w:rsidR="00BB0C4A" w:rsidRDefault="00BB0C4A" w:rsidP="00BB0C4A">
      <w:pPr>
        <w:pStyle w:val="Prrafodelista"/>
        <w:spacing w:before="100" w:beforeAutospacing="1" w:after="100" w:afterAutospacing="1"/>
        <w:ind w:right="249"/>
        <w:jc w:val="both"/>
        <w:rPr>
          <w:rFonts w:ascii="Arial" w:hAnsi="Arial" w:cs="Arial"/>
          <w:sz w:val="22"/>
          <w:szCs w:val="22"/>
          <w:lang w:val="es-ES"/>
        </w:rPr>
      </w:pPr>
    </w:p>
    <w:p w:rsidR="00476958" w:rsidRDefault="00BB0C4A" w:rsidP="00BB0C4A">
      <w:pPr>
        <w:pStyle w:val="Prrafodelista"/>
        <w:spacing w:before="100" w:beforeAutospacing="1" w:after="100" w:afterAutospacing="1"/>
        <w:ind w:right="249"/>
        <w:jc w:val="both"/>
        <w:rPr>
          <w:rFonts w:ascii="Arial" w:hAnsi="Arial" w:cs="Arial"/>
          <w:sz w:val="22"/>
          <w:szCs w:val="22"/>
          <w:lang w:val="es-ES"/>
        </w:rPr>
      </w:pPr>
      <w:r>
        <w:rPr>
          <w:rFonts w:ascii="Arial" w:hAnsi="Arial" w:cs="Arial"/>
          <w:sz w:val="22"/>
          <w:szCs w:val="22"/>
          <w:lang w:val="es-ES"/>
        </w:rPr>
        <w:t xml:space="preserve">Mediante la actualización </w:t>
      </w:r>
      <w:r w:rsidR="00712C73">
        <w:rPr>
          <w:rFonts w:ascii="Arial" w:hAnsi="Arial" w:cs="Arial"/>
          <w:sz w:val="22"/>
          <w:szCs w:val="22"/>
          <w:lang w:val="es-ES"/>
        </w:rPr>
        <w:t xml:space="preserve">que prevé la presente propuesta </w:t>
      </w:r>
      <w:r>
        <w:rPr>
          <w:rFonts w:ascii="Arial" w:hAnsi="Arial" w:cs="Arial"/>
          <w:sz w:val="22"/>
          <w:szCs w:val="22"/>
          <w:lang w:val="es-ES"/>
        </w:rPr>
        <w:t xml:space="preserve">del Anexo I del Real Decreto, la Lista 1 pasa de tener 12 </w:t>
      </w:r>
      <w:r w:rsidR="00B04AB6">
        <w:rPr>
          <w:rFonts w:ascii="Arial" w:hAnsi="Arial" w:cs="Arial"/>
          <w:sz w:val="22"/>
          <w:szCs w:val="22"/>
          <w:lang w:val="es-ES"/>
        </w:rPr>
        <w:t xml:space="preserve">familias de </w:t>
      </w:r>
      <w:r>
        <w:rPr>
          <w:rFonts w:ascii="Arial" w:hAnsi="Arial" w:cs="Arial"/>
          <w:sz w:val="22"/>
          <w:szCs w:val="22"/>
          <w:lang w:val="es-ES"/>
        </w:rPr>
        <w:t>sustancias químicas, a tener 16</w:t>
      </w:r>
      <w:r w:rsidR="00B04AB6">
        <w:rPr>
          <w:rFonts w:ascii="Arial" w:hAnsi="Arial" w:cs="Arial"/>
          <w:sz w:val="22"/>
          <w:szCs w:val="22"/>
          <w:lang w:val="es-ES"/>
        </w:rPr>
        <w:t>, al añadirse 4 nuevas familias.</w:t>
      </w:r>
      <w:r>
        <w:rPr>
          <w:rFonts w:ascii="Arial" w:hAnsi="Arial" w:cs="Arial"/>
          <w:sz w:val="22"/>
          <w:szCs w:val="22"/>
          <w:lang w:val="es-ES"/>
        </w:rPr>
        <w:t xml:space="preserve"> </w:t>
      </w:r>
    </w:p>
    <w:p w:rsidR="00BB0C4A" w:rsidRDefault="00BB0C4A" w:rsidP="00BB0C4A">
      <w:pPr>
        <w:pStyle w:val="Prrafodelista"/>
        <w:spacing w:before="100" w:beforeAutospacing="1" w:after="100" w:afterAutospacing="1"/>
        <w:ind w:right="249"/>
        <w:jc w:val="both"/>
        <w:rPr>
          <w:rFonts w:ascii="Arial" w:hAnsi="Arial" w:cs="Arial"/>
          <w:sz w:val="22"/>
          <w:szCs w:val="22"/>
          <w:lang w:val="es-ES"/>
        </w:rPr>
      </w:pPr>
    </w:p>
    <w:p w:rsidR="007A7D70" w:rsidRDefault="007A7D70" w:rsidP="00BB0C4A">
      <w:pPr>
        <w:pStyle w:val="Prrafodelista"/>
        <w:spacing w:before="100" w:beforeAutospacing="1" w:after="100" w:afterAutospacing="1"/>
        <w:ind w:right="249"/>
        <w:jc w:val="both"/>
        <w:rPr>
          <w:rFonts w:ascii="Arial" w:hAnsi="Arial" w:cs="Arial"/>
          <w:sz w:val="22"/>
          <w:szCs w:val="22"/>
          <w:lang w:val="es-ES"/>
        </w:rPr>
      </w:pPr>
      <w:r>
        <w:rPr>
          <w:rFonts w:ascii="Arial" w:hAnsi="Arial" w:cs="Arial"/>
          <w:sz w:val="22"/>
          <w:szCs w:val="22"/>
          <w:lang w:val="es-ES"/>
        </w:rPr>
        <w:t xml:space="preserve">Puesto que, en la práctica, se trata de sustancias con las que de hecho está prohibido </w:t>
      </w:r>
      <w:r w:rsidR="00712C73">
        <w:rPr>
          <w:rFonts w:ascii="Arial" w:hAnsi="Arial" w:cs="Arial"/>
          <w:sz w:val="22"/>
          <w:szCs w:val="22"/>
          <w:lang w:val="es-ES"/>
        </w:rPr>
        <w:t xml:space="preserve">de manera generalizada </w:t>
      </w:r>
      <w:r>
        <w:rPr>
          <w:rFonts w:ascii="Arial" w:hAnsi="Arial" w:cs="Arial"/>
          <w:sz w:val="22"/>
          <w:szCs w:val="22"/>
          <w:lang w:val="es-ES"/>
        </w:rPr>
        <w:t>realizar actividades - según artículo 3.4 del Real Decreto 78/2019 -, excepto las excepciones previstas en dicho artículo, el impacto en los ámbitos considerados, es nulo.</w:t>
      </w:r>
    </w:p>
    <w:p w:rsidR="00BB0C4A" w:rsidRDefault="00BB0C4A" w:rsidP="00BB0C4A">
      <w:pPr>
        <w:pStyle w:val="Prrafodelista"/>
        <w:spacing w:before="100" w:beforeAutospacing="1" w:after="100" w:afterAutospacing="1"/>
        <w:ind w:right="249"/>
        <w:jc w:val="both"/>
        <w:rPr>
          <w:rFonts w:ascii="Arial" w:hAnsi="Arial" w:cs="Arial"/>
          <w:sz w:val="22"/>
          <w:szCs w:val="22"/>
          <w:lang w:val="es-ES"/>
        </w:rPr>
      </w:pPr>
    </w:p>
    <w:p w:rsidR="007A7D70" w:rsidRDefault="007A7D70" w:rsidP="00BB0C4A">
      <w:pPr>
        <w:pStyle w:val="Prrafodelista"/>
        <w:spacing w:before="100" w:beforeAutospacing="1" w:after="100" w:afterAutospacing="1"/>
        <w:ind w:right="249"/>
        <w:jc w:val="both"/>
        <w:rPr>
          <w:rFonts w:ascii="Arial" w:hAnsi="Arial" w:cs="Arial"/>
          <w:sz w:val="22"/>
          <w:szCs w:val="22"/>
          <w:lang w:val="es-ES"/>
        </w:rPr>
      </w:pPr>
    </w:p>
    <w:p w:rsidR="00BB0C4A" w:rsidRDefault="00BB0C4A" w:rsidP="00BB0C4A">
      <w:pPr>
        <w:pStyle w:val="Prrafodelista"/>
        <w:numPr>
          <w:ilvl w:val="0"/>
          <w:numId w:val="25"/>
        </w:numPr>
        <w:spacing w:before="100" w:beforeAutospacing="1" w:after="100" w:afterAutospacing="1"/>
        <w:ind w:right="249"/>
        <w:jc w:val="both"/>
        <w:rPr>
          <w:rFonts w:ascii="Arial" w:hAnsi="Arial" w:cs="Arial"/>
          <w:sz w:val="22"/>
          <w:szCs w:val="22"/>
          <w:lang w:val="es-ES"/>
        </w:rPr>
      </w:pPr>
      <w:r>
        <w:rPr>
          <w:rFonts w:ascii="Arial" w:hAnsi="Arial" w:cs="Arial"/>
          <w:sz w:val="22"/>
          <w:szCs w:val="22"/>
          <w:lang w:val="es-ES"/>
        </w:rPr>
        <w:t xml:space="preserve">En </w:t>
      </w:r>
      <w:r w:rsidR="007A7D70">
        <w:rPr>
          <w:rFonts w:ascii="Arial" w:hAnsi="Arial" w:cs="Arial"/>
          <w:sz w:val="22"/>
          <w:szCs w:val="22"/>
          <w:lang w:val="es-ES"/>
        </w:rPr>
        <w:t xml:space="preserve">un </w:t>
      </w:r>
      <w:r>
        <w:rPr>
          <w:rFonts w:ascii="Arial" w:hAnsi="Arial" w:cs="Arial"/>
          <w:sz w:val="22"/>
          <w:szCs w:val="22"/>
          <w:lang w:val="es-ES"/>
        </w:rPr>
        <w:t>segundo orden, las modificaciones de los formularios de los Anexos II y III, van dirigidas exclusivamente a facilitar</w:t>
      </w:r>
      <w:r w:rsidR="007A7D70">
        <w:rPr>
          <w:rFonts w:ascii="Arial" w:hAnsi="Arial" w:cs="Arial"/>
          <w:sz w:val="22"/>
          <w:szCs w:val="22"/>
          <w:lang w:val="es-ES"/>
        </w:rPr>
        <w:t xml:space="preserve"> su correcta interpretación, eliminando ambigüedades en la interpretación, y corrigiendo errores. Por ello, tampoco hay un impacto apreciable en los ámbitos en cuestión.</w:t>
      </w:r>
      <w:r w:rsidR="00A93FA7">
        <w:rPr>
          <w:rFonts w:ascii="Arial" w:hAnsi="Arial" w:cs="Arial"/>
          <w:sz w:val="22"/>
          <w:szCs w:val="22"/>
          <w:lang w:val="es-ES"/>
        </w:rPr>
        <w:t xml:space="preserve"> </w:t>
      </w:r>
      <w:r w:rsidR="007A7884">
        <w:rPr>
          <w:rFonts w:ascii="Arial" w:hAnsi="Arial" w:cs="Arial"/>
          <w:sz w:val="22"/>
          <w:szCs w:val="22"/>
          <w:lang w:val="es-ES"/>
        </w:rPr>
        <w:t xml:space="preserve">Por el contrario, como resultado de la modificación, tendrá lugar una mejora en la eficacia de la actuación de la Administración, pues no será necesario solicitar individualmente la corrección de cuestiones que deriven de tales ambigüedades y errores. </w:t>
      </w:r>
    </w:p>
    <w:p w:rsidR="007A7D70" w:rsidRDefault="007A7D70" w:rsidP="007A7D70">
      <w:pPr>
        <w:pStyle w:val="Prrafodelista"/>
        <w:spacing w:before="100" w:beforeAutospacing="1" w:after="100" w:afterAutospacing="1"/>
        <w:ind w:right="249"/>
        <w:jc w:val="both"/>
        <w:rPr>
          <w:rFonts w:ascii="Arial" w:hAnsi="Arial" w:cs="Arial"/>
          <w:sz w:val="22"/>
          <w:szCs w:val="22"/>
          <w:lang w:val="es-ES"/>
        </w:rPr>
      </w:pPr>
    </w:p>
    <w:p w:rsidR="007A7D70" w:rsidRDefault="007A7D70" w:rsidP="007A7D70">
      <w:pPr>
        <w:pStyle w:val="Prrafodelista"/>
        <w:spacing w:before="100" w:beforeAutospacing="1" w:after="100" w:afterAutospacing="1"/>
        <w:ind w:right="249"/>
        <w:jc w:val="both"/>
        <w:rPr>
          <w:rFonts w:ascii="Arial" w:hAnsi="Arial" w:cs="Arial"/>
          <w:sz w:val="22"/>
          <w:szCs w:val="22"/>
          <w:lang w:val="es-ES"/>
        </w:rPr>
      </w:pPr>
    </w:p>
    <w:p w:rsidR="00476958" w:rsidRDefault="007A7D70" w:rsidP="005635AE">
      <w:pPr>
        <w:spacing w:before="100" w:beforeAutospacing="1" w:after="100" w:afterAutospacing="1"/>
        <w:ind w:right="249"/>
        <w:jc w:val="both"/>
        <w:rPr>
          <w:rFonts w:ascii="Arial" w:hAnsi="Arial" w:cs="Arial"/>
          <w:sz w:val="22"/>
          <w:szCs w:val="22"/>
          <w:lang w:val="es-ES"/>
        </w:rPr>
      </w:pPr>
      <w:r>
        <w:rPr>
          <w:rFonts w:ascii="Arial" w:hAnsi="Arial" w:cs="Arial"/>
          <w:sz w:val="22"/>
          <w:szCs w:val="22"/>
          <w:lang w:val="es-ES"/>
        </w:rPr>
        <w:t>En conclusión, ninguno de los cambios sobre los Anexos</w:t>
      </w:r>
      <w:r w:rsidR="00476958" w:rsidRPr="00476958">
        <w:rPr>
          <w:rFonts w:ascii="Arial" w:hAnsi="Arial" w:cs="Arial"/>
          <w:sz w:val="22"/>
          <w:szCs w:val="22"/>
          <w:lang w:val="es-ES"/>
        </w:rPr>
        <w:t xml:space="preserve"> supone impacto apreciable en los ámbitos afectados, lo que justifica la utilización del formato de memoria abreviada.</w:t>
      </w:r>
    </w:p>
    <w:p w:rsidR="00476958" w:rsidRDefault="00476958" w:rsidP="00A5547B">
      <w:pPr>
        <w:spacing w:before="100" w:beforeAutospacing="1" w:after="100" w:afterAutospacing="1"/>
        <w:ind w:left="360" w:right="249"/>
        <w:jc w:val="both"/>
        <w:rPr>
          <w:rFonts w:ascii="Arial" w:hAnsi="Arial" w:cs="Arial"/>
          <w:sz w:val="22"/>
          <w:szCs w:val="22"/>
          <w:lang w:val="es-ES"/>
        </w:rPr>
      </w:pPr>
    </w:p>
    <w:p w:rsidR="007A7D70" w:rsidRDefault="007A7D70" w:rsidP="00A5547B">
      <w:pPr>
        <w:spacing w:before="100" w:beforeAutospacing="1" w:after="100" w:afterAutospacing="1"/>
        <w:ind w:left="360" w:right="249"/>
        <w:jc w:val="both"/>
        <w:rPr>
          <w:rFonts w:ascii="Arial" w:hAnsi="Arial" w:cs="Arial"/>
          <w:sz w:val="22"/>
          <w:szCs w:val="22"/>
          <w:lang w:val="es-ES"/>
        </w:rPr>
      </w:pPr>
    </w:p>
    <w:p w:rsidR="002373C1" w:rsidRDefault="002373C1" w:rsidP="00A5547B">
      <w:pPr>
        <w:spacing w:before="100" w:beforeAutospacing="1" w:after="100" w:afterAutospacing="1"/>
        <w:ind w:left="360" w:right="249"/>
        <w:jc w:val="both"/>
        <w:rPr>
          <w:rFonts w:ascii="Arial" w:hAnsi="Arial" w:cs="Arial"/>
          <w:sz w:val="22"/>
          <w:szCs w:val="22"/>
          <w:lang w:val="es-ES"/>
        </w:rPr>
      </w:pPr>
    </w:p>
    <w:p w:rsidR="00476958" w:rsidRDefault="00476958" w:rsidP="00A5547B">
      <w:pPr>
        <w:spacing w:before="100" w:beforeAutospacing="1" w:after="100" w:afterAutospacing="1"/>
        <w:ind w:left="360" w:right="249"/>
        <w:jc w:val="both"/>
        <w:rPr>
          <w:rFonts w:ascii="Arial" w:hAnsi="Arial" w:cs="Arial"/>
          <w:sz w:val="22"/>
          <w:szCs w:val="22"/>
          <w:lang w:val="es-ES"/>
        </w:rPr>
      </w:pPr>
    </w:p>
    <w:p w:rsidR="00A5547B" w:rsidRDefault="00A5547B" w:rsidP="00A5547B">
      <w:pPr>
        <w:pStyle w:val="Ttulo1"/>
        <w:ind w:left="360"/>
        <w:rPr>
          <w:rFonts w:cs="Arial"/>
          <w:szCs w:val="24"/>
          <w:lang w:val="es-ES"/>
        </w:rPr>
      </w:pPr>
      <w:bookmarkStart w:id="3" w:name="_Toc83974157"/>
      <w:r w:rsidRPr="008D25EE">
        <w:rPr>
          <w:rFonts w:cs="Arial"/>
          <w:szCs w:val="24"/>
          <w:lang w:val="es-ES"/>
        </w:rPr>
        <w:t xml:space="preserve">II. OPORTUNIDAD DE LA </w:t>
      </w:r>
      <w:bookmarkEnd w:id="3"/>
      <w:r w:rsidRPr="008D25EE">
        <w:rPr>
          <w:rFonts w:cs="Arial"/>
          <w:szCs w:val="24"/>
          <w:lang w:val="es-ES"/>
        </w:rPr>
        <w:t>ORDEN</w:t>
      </w:r>
    </w:p>
    <w:p w:rsidR="007A7D70" w:rsidRPr="007A7D70" w:rsidRDefault="007A7D70" w:rsidP="007A7D70">
      <w:pPr>
        <w:rPr>
          <w:lang w:val="es-ES"/>
        </w:rPr>
      </w:pPr>
    </w:p>
    <w:p w:rsidR="007A7D70" w:rsidRPr="007A7D70" w:rsidRDefault="007A7D70" w:rsidP="007A7D70">
      <w:pPr>
        <w:rPr>
          <w:lang w:val="es-ES"/>
        </w:rPr>
      </w:pPr>
    </w:p>
    <w:p w:rsidR="00A5547B" w:rsidRPr="008D25EE" w:rsidRDefault="00A5547B" w:rsidP="00A5547B">
      <w:pPr>
        <w:pStyle w:val="Ttulo1"/>
        <w:ind w:left="360"/>
        <w:rPr>
          <w:rStyle w:val="Ttulodellibro"/>
          <w:rFonts w:cs="Arial"/>
          <w:i w:val="0"/>
          <w:sz w:val="22"/>
          <w:szCs w:val="22"/>
          <w:lang w:val="es-ES"/>
        </w:rPr>
      </w:pPr>
      <w:r w:rsidRPr="008D25EE">
        <w:rPr>
          <w:rStyle w:val="Ttulodellibro"/>
          <w:rFonts w:cs="Arial"/>
          <w:sz w:val="22"/>
          <w:szCs w:val="22"/>
          <w:lang w:val="es-ES"/>
        </w:rPr>
        <w:t xml:space="preserve">1. Motivación </w:t>
      </w:r>
    </w:p>
    <w:p w:rsidR="007A7D70" w:rsidRDefault="007A7D70" w:rsidP="00A5547B">
      <w:pPr>
        <w:spacing w:before="100" w:beforeAutospacing="1" w:after="100" w:afterAutospacing="1"/>
        <w:ind w:left="360" w:right="249"/>
        <w:jc w:val="both"/>
        <w:rPr>
          <w:rFonts w:ascii="Arial" w:hAnsi="Arial" w:cs="Arial"/>
          <w:sz w:val="22"/>
          <w:szCs w:val="22"/>
          <w:lang w:val="es-ES"/>
        </w:rPr>
      </w:pPr>
    </w:p>
    <w:p w:rsidR="007A7D70" w:rsidRPr="00B3593E" w:rsidRDefault="00B3593E" w:rsidP="00B3593E">
      <w:pPr>
        <w:pStyle w:val="Prrafodelista"/>
        <w:numPr>
          <w:ilvl w:val="0"/>
          <w:numId w:val="26"/>
        </w:numPr>
        <w:spacing w:before="100" w:beforeAutospacing="1" w:after="100" w:afterAutospacing="1"/>
        <w:ind w:right="249"/>
        <w:jc w:val="both"/>
        <w:rPr>
          <w:rFonts w:ascii="Arial" w:hAnsi="Arial" w:cs="Arial"/>
          <w:sz w:val="22"/>
          <w:szCs w:val="22"/>
          <w:lang w:val="es-ES"/>
        </w:rPr>
      </w:pPr>
      <w:r>
        <w:rPr>
          <w:rFonts w:ascii="Arial" w:hAnsi="Arial" w:cs="Arial"/>
          <w:sz w:val="22"/>
          <w:szCs w:val="22"/>
          <w:lang w:val="es-ES"/>
        </w:rPr>
        <w:t>Respecto</w:t>
      </w:r>
      <w:r w:rsidR="007A7D70" w:rsidRPr="00B3593E">
        <w:rPr>
          <w:rFonts w:ascii="Arial" w:hAnsi="Arial" w:cs="Arial"/>
          <w:sz w:val="22"/>
          <w:szCs w:val="22"/>
          <w:lang w:val="es-ES"/>
        </w:rPr>
        <w:t xml:space="preserve"> a la propuesta de modificación del </w:t>
      </w:r>
      <w:r w:rsidR="007A7D70" w:rsidRPr="00B3593E">
        <w:rPr>
          <w:rFonts w:ascii="Arial" w:hAnsi="Arial" w:cs="Arial"/>
          <w:i/>
          <w:sz w:val="22"/>
          <w:szCs w:val="22"/>
          <w:u w:val="single"/>
          <w:lang w:val="es-ES"/>
        </w:rPr>
        <w:t>Anexo I</w:t>
      </w:r>
      <w:r w:rsidR="007A7D70" w:rsidRPr="00B3593E">
        <w:rPr>
          <w:rFonts w:ascii="Arial" w:hAnsi="Arial" w:cs="Arial"/>
          <w:sz w:val="22"/>
          <w:szCs w:val="22"/>
          <w:u w:val="single"/>
          <w:lang w:val="es-ES"/>
        </w:rPr>
        <w:t xml:space="preserve"> del Real Decreto 78/2019</w:t>
      </w:r>
      <w:r w:rsidR="007A7D70" w:rsidRPr="00B3593E">
        <w:rPr>
          <w:rFonts w:ascii="Arial" w:hAnsi="Arial" w:cs="Arial"/>
          <w:sz w:val="22"/>
          <w:szCs w:val="22"/>
          <w:lang w:val="es-ES"/>
        </w:rPr>
        <w:t>:</w:t>
      </w:r>
    </w:p>
    <w:p w:rsidR="00036998" w:rsidRDefault="00036998" w:rsidP="00A5547B">
      <w:pPr>
        <w:spacing w:before="100" w:beforeAutospacing="1" w:after="100" w:afterAutospacing="1"/>
        <w:ind w:left="360" w:right="249"/>
        <w:jc w:val="both"/>
        <w:rPr>
          <w:rFonts w:ascii="Arial" w:hAnsi="Arial" w:cs="Arial"/>
          <w:sz w:val="22"/>
          <w:szCs w:val="22"/>
          <w:lang w:val="es-ES"/>
        </w:rPr>
      </w:pPr>
    </w:p>
    <w:p w:rsidR="007A7D70" w:rsidRDefault="00B3593E" w:rsidP="005635AE">
      <w:pPr>
        <w:spacing w:before="100" w:beforeAutospacing="1" w:after="100" w:afterAutospacing="1"/>
        <w:ind w:right="249"/>
        <w:jc w:val="both"/>
        <w:rPr>
          <w:rFonts w:ascii="Arial" w:hAnsi="Arial" w:cs="Arial"/>
          <w:sz w:val="22"/>
          <w:szCs w:val="22"/>
          <w:lang w:val="es-ES"/>
        </w:rPr>
      </w:pPr>
      <w:r>
        <w:rPr>
          <w:rFonts w:ascii="Arial" w:hAnsi="Arial" w:cs="Arial"/>
          <w:sz w:val="22"/>
          <w:szCs w:val="22"/>
          <w:lang w:val="es-ES"/>
        </w:rPr>
        <w:t xml:space="preserve">Esta propuesta, responde a una </w:t>
      </w:r>
      <w:r w:rsidR="00873FE6">
        <w:rPr>
          <w:rFonts w:ascii="Arial" w:hAnsi="Arial" w:cs="Arial"/>
          <w:sz w:val="22"/>
          <w:szCs w:val="22"/>
          <w:lang w:val="es-ES"/>
        </w:rPr>
        <w:t>causa normativa o institucional:</w:t>
      </w:r>
    </w:p>
    <w:p w:rsidR="007A7D70" w:rsidRDefault="00256C69" w:rsidP="005635AE">
      <w:pPr>
        <w:spacing w:before="100" w:beforeAutospacing="1" w:after="100" w:afterAutospacing="1"/>
        <w:ind w:right="249"/>
        <w:jc w:val="both"/>
        <w:rPr>
          <w:rFonts w:ascii="Arial" w:hAnsi="Arial" w:cs="Arial"/>
          <w:sz w:val="22"/>
          <w:szCs w:val="22"/>
          <w:lang w:val="es-ES"/>
        </w:rPr>
      </w:pPr>
      <w:r>
        <w:rPr>
          <w:rFonts w:ascii="Arial" w:hAnsi="Arial" w:cs="Arial"/>
          <w:sz w:val="22"/>
          <w:szCs w:val="22"/>
          <w:lang w:val="es-ES"/>
        </w:rPr>
        <w:t>La m</w:t>
      </w:r>
      <w:r w:rsidR="00A93FA7" w:rsidRPr="007A7884">
        <w:rPr>
          <w:rFonts w:ascii="Arial" w:hAnsi="Arial" w:cs="Arial"/>
          <w:sz w:val="22"/>
          <w:szCs w:val="22"/>
          <w:lang w:val="es-ES"/>
        </w:rPr>
        <w:t xml:space="preserve">odificación </w:t>
      </w:r>
      <w:r>
        <w:rPr>
          <w:rFonts w:ascii="Arial" w:hAnsi="Arial" w:cs="Arial"/>
          <w:sz w:val="22"/>
          <w:szCs w:val="22"/>
          <w:lang w:val="es-ES"/>
        </w:rPr>
        <w:t xml:space="preserve">internacional </w:t>
      </w:r>
      <w:r w:rsidR="00A93FA7" w:rsidRPr="007A7884">
        <w:rPr>
          <w:rFonts w:ascii="Arial" w:hAnsi="Arial" w:cs="Arial"/>
          <w:sz w:val="22"/>
          <w:szCs w:val="22"/>
          <w:lang w:val="es-ES"/>
        </w:rPr>
        <w:t>de la Convención</w:t>
      </w:r>
      <w:r>
        <w:rPr>
          <w:rFonts w:ascii="Arial" w:hAnsi="Arial" w:cs="Arial"/>
          <w:sz w:val="22"/>
          <w:szCs w:val="22"/>
          <w:lang w:val="es-ES"/>
        </w:rPr>
        <w:t>,</w:t>
      </w:r>
      <w:r w:rsidR="007A7884" w:rsidRPr="007A7884">
        <w:rPr>
          <w:rFonts w:ascii="Arial" w:hAnsi="Arial" w:cs="Arial"/>
          <w:sz w:val="22"/>
          <w:szCs w:val="22"/>
          <w:lang w:val="es-ES"/>
        </w:rPr>
        <w:t xml:space="preserve"> en </w:t>
      </w:r>
      <w:r>
        <w:rPr>
          <w:rFonts w:ascii="Arial" w:hAnsi="Arial" w:cs="Arial"/>
          <w:sz w:val="22"/>
          <w:szCs w:val="22"/>
          <w:lang w:val="es-ES"/>
        </w:rPr>
        <w:t>su Anexo de Sustancias Químicas: l</w:t>
      </w:r>
      <w:r w:rsidR="007A7D70" w:rsidRPr="007A7884">
        <w:rPr>
          <w:rFonts w:ascii="Arial" w:hAnsi="Arial" w:cs="Arial"/>
          <w:sz w:val="22"/>
          <w:szCs w:val="22"/>
          <w:lang w:val="es-ES"/>
        </w:rPr>
        <w:t xml:space="preserve">a Conferencia </w:t>
      </w:r>
      <w:r w:rsidR="007A7D70">
        <w:rPr>
          <w:rFonts w:ascii="Arial" w:hAnsi="Arial" w:cs="Arial"/>
          <w:sz w:val="22"/>
          <w:szCs w:val="22"/>
          <w:lang w:val="es-ES"/>
        </w:rPr>
        <w:t xml:space="preserve">de los Estados Parte de la OPAQ, </w:t>
      </w:r>
      <w:r w:rsidR="007A7D70" w:rsidRPr="007A7D70">
        <w:rPr>
          <w:rFonts w:ascii="Arial" w:hAnsi="Arial" w:cs="Arial"/>
          <w:sz w:val="22"/>
          <w:szCs w:val="22"/>
          <w:lang w:val="es-ES"/>
        </w:rPr>
        <w:t>en su Vigésima Cuarta Sesión, adoptó las decisiones C-24/DEC.4 y C-24/DEC.5 (ambas fechadas el 27 de noviembre de 2019), en las que aprobó, de acuerdo con los párrafos 4 y 5 d</w:t>
      </w:r>
      <w:r w:rsidR="007A7D70">
        <w:rPr>
          <w:rFonts w:ascii="Arial" w:hAnsi="Arial" w:cs="Arial"/>
          <w:sz w:val="22"/>
          <w:szCs w:val="22"/>
          <w:lang w:val="es-ES"/>
        </w:rPr>
        <w:t xml:space="preserve">el Artículo XV de la Convención, </w:t>
      </w:r>
      <w:r w:rsidR="00873FE6">
        <w:rPr>
          <w:rFonts w:ascii="Arial" w:hAnsi="Arial" w:cs="Arial"/>
          <w:sz w:val="22"/>
          <w:szCs w:val="22"/>
          <w:lang w:val="es-ES"/>
        </w:rPr>
        <w:t>una serie de</w:t>
      </w:r>
      <w:r w:rsidR="007A7D70">
        <w:rPr>
          <w:rFonts w:ascii="Arial" w:hAnsi="Arial" w:cs="Arial"/>
          <w:sz w:val="22"/>
          <w:szCs w:val="22"/>
          <w:lang w:val="es-ES"/>
        </w:rPr>
        <w:t xml:space="preserve"> cambios en el Anexo</w:t>
      </w:r>
      <w:r w:rsidR="007A7D70" w:rsidRPr="007A7D70">
        <w:rPr>
          <w:rFonts w:ascii="Arial" w:hAnsi="Arial" w:cs="Arial"/>
          <w:sz w:val="22"/>
          <w:szCs w:val="22"/>
          <w:lang w:val="es-ES"/>
        </w:rPr>
        <w:t xml:space="preserve"> de Sustancias Químicas de la Convención</w:t>
      </w:r>
      <w:r w:rsidR="007A7D70">
        <w:rPr>
          <w:rFonts w:ascii="Arial" w:hAnsi="Arial" w:cs="Arial"/>
          <w:sz w:val="22"/>
          <w:szCs w:val="22"/>
          <w:lang w:val="es-ES"/>
        </w:rPr>
        <w:t>.</w:t>
      </w:r>
      <w:r w:rsidR="007A7D70" w:rsidRPr="007A7D70">
        <w:rPr>
          <w:rFonts w:ascii="Arial" w:hAnsi="Arial" w:cs="Arial"/>
          <w:sz w:val="22"/>
          <w:szCs w:val="22"/>
          <w:lang w:val="es-ES"/>
        </w:rPr>
        <w:t xml:space="preserve"> </w:t>
      </w:r>
    </w:p>
    <w:p w:rsidR="00390D79" w:rsidRDefault="00390D79" w:rsidP="00A5547B">
      <w:pPr>
        <w:spacing w:before="100" w:beforeAutospacing="1" w:after="100" w:afterAutospacing="1"/>
        <w:ind w:left="360" w:right="249"/>
        <w:jc w:val="both"/>
        <w:rPr>
          <w:rFonts w:ascii="Arial" w:hAnsi="Arial" w:cs="Arial"/>
          <w:sz w:val="22"/>
          <w:szCs w:val="22"/>
          <w:lang w:val="es-ES"/>
        </w:rPr>
      </w:pPr>
    </w:p>
    <w:p w:rsidR="00390D79" w:rsidRPr="007A7D70" w:rsidRDefault="00390D79" w:rsidP="00390D79">
      <w:pPr>
        <w:pStyle w:val="Prrafodelista"/>
        <w:numPr>
          <w:ilvl w:val="0"/>
          <w:numId w:val="26"/>
        </w:numPr>
        <w:spacing w:before="100" w:beforeAutospacing="1" w:after="100" w:afterAutospacing="1"/>
        <w:ind w:right="249"/>
        <w:jc w:val="both"/>
        <w:rPr>
          <w:rFonts w:ascii="Arial" w:hAnsi="Arial" w:cs="Arial"/>
          <w:sz w:val="22"/>
          <w:szCs w:val="22"/>
          <w:lang w:val="es-ES"/>
        </w:rPr>
      </w:pPr>
      <w:r w:rsidRPr="007A7D70">
        <w:rPr>
          <w:rFonts w:ascii="Arial" w:hAnsi="Arial" w:cs="Arial"/>
          <w:sz w:val="22"/>
          <w:szCs w:val="22"/>
          <w:lang w:val="es-ES"/>
        </w:rPr>
        <w:t xml:space="preserve">Respecto a la propuesta de modificación del </w:t>
      </w:r>
      <w:r w:rsidRPr="007A7D70">
        <w:rPr>
          <w:rFonts w:ascii="Arial" w:hAnsi="Arial" w:cs="Arial"/>
          <w:i/>
          <w:sz w:val="22"/>
          <w:szCs w:val="22"/>
          <w:u w:val="single"/>
          <w:lang w:val="es-ES"/>
        </w:rPr>
        <w:t>Anexo I</w:t>
      </w:r>
      <w:r>
        <w:rPr>
          <w:rFonts w:ascii="Arial" w:hAnsi="Arial" w:cs="Arial"/>
          <w:i/>
          <w:sz w:val="22"/>
          <w:szCs w:val="22"/>
          <w:u w:val="single"/>
          <w:lang w:val="es-ES"/>
        </w:rPr>
        <w:t>I y III</w:t>
      </w:r>
      <w:r w:rsidRPr="007A7D70">
        <w:rPr>
          <w:rFonts w:ascii="Arial" w:hAnsi="Arial" w:cs="Arial"/>
          <w:sz w:val="22"/>
          <w:szCs w:val="22"/>
          <w:u w:val="single"/>
          <w:lang w:val="es-ES"/>
        </w:rPr>
        <w:t xml:space="preserve"> del Real Decreto 78/2019</w:t>
      </w:r>
      <w:r w:rsidRPr="007A7D70">
        <w:rPr>
          <w:rFonts w:ascii="Arial" w:hAnsi="Arial" w:cs="Arial"/>
          <w:sz w:val="22"/>
          <w:szCs w:val="22"/>
          <w:lang w:val="es-ES"/>
        </w:rPr>
        <w:t>:</w:t>
      </w:r>
    </w:p>
    <w:p w:rsidR="00B3593E" w:rsidRPr="00A93FA7" w:rsidRDefault="00B3593E" w:rsidP="005635AE">
      <w:pPr>
        <w:spacing w:before="100" w:beforeAutospacing="1" w:after="100" w:afterAutospacing="1"/>
        <w:ind w:right="249"/>
        <w:jc w:val="both"/>
        <w:rPr>
          <w:rFonts w:ascii="Arial" w:hAnsi="Arial" w:cs="Arial"/>
          <w:color w:val="FF0000"/>
          <w:sz w:val="22"/>
          <w:szCs w:val="22"/>
          <w:lang w:val="es-ES"/>
        </w:rPr>
      </w:pPr>
      <w:r>
        <w:rPr>
          <w:rFonts w:ascii="Arial" w:hAnsi="Arial" w:cs="Arial"/>
          <w:sz w:val="22"/>
          <w:szCs w:val="22"/>
          <w:lang w:val="es-ES"/>
        </w:rPr>
        <w:t>Al r</w:t>
      </w:r>
      <w:r w:rsidR="00036998">
        <w:rPr>
          <w:rFonts w:ascii="Arial" w:hAnsi="Arial" w:cs="Arial"/>
          <w:sz w:val="22"/>
          <w:szCs w:val="22"/>
          <w:lang w:val="es-ES"/>
        </w:rPr>
        <w:t>ealizarse la propuesta de Orden</w:t>
      </w:r>
      <w:r>
        <w:rPr>
          <w:rFonts w:ascii="Arial" w:hAnsi="Arial" w:cs="Arial"/>
          <w:sz w:val="22"/>
          <w:szCs w:val="22"/>
          <w:lang w:val="es-ES"/>
        </w:rPr>
        <w:t xml:space="preserve"> para dar respuesta a la necesidad de actualizar el Anexo I, se opta por modificar los Anexos II y III </w:t>
      </w:r>
      <w:r w:rsidR="00036998">
        <w:rPr>
          <w:rFonts w:ascii="Arial" w:hAnsi="Arial" w:cs="Arial"/>
          <w:sz w:val="22"/>
          <w:szCs w:val="22"/>
          <w:lang w:val="es-ES"/>
        </w:rPr>
        <w:t>ya</w:t>
      </w:r>
      <w:r>
        <w:rPr>
          <w:rFonts w:ascii="Arial" w:hAnsi="Arial" w:cs="Arial"/>
          <w:sz w:val="22"/>
          <w:szCs w:val="22"/>
          <w:lang w:val="es-ES"/>
        </w:rPr>
        <w:t xml:space="preserve"> que, en la práctica, varios aspectos que ahora se formalizan, se estaban </w:t>
      </w:r>
      <w:r w:rsidR="00873FE6">
        <w:rPr>
          <w:rFonts w:ascii="Arial" w:hAnsi="Arial" w:cs="Arial"/>
          <w:sz w:val="22"/>
          <w:szCs w:val="22"/>
          <w:lang w:val="es-ES"/>
        </w:rPr>
        <w:t xml:space="preserve">ya </w:t>
      </w:r>
      <w:r>
        <w:rPr>
          <w:rFonts w:ascii="Arial" w:hAnsi="Arial" w:cs="Arial"/>
          <w:sz w:val="22"/>
          <w:szCs w:val="22"/>
          <w:lang w:val="es-ES"/>
        </w:rPr>
        <w:t xml:space="preserve">solicitando a los sujetos obligados para facilitar la interpretación </w:t>
      </w:r>
      <w:r w:rsidR="00036998">
        <w:rPr>
          <w:rFonts w:ascii="Arial" w:hAnsi="Arial" w:cs="Arial"/>
          <w:sz w:val="22"/>
          <w:szCs w:val="22"/>
          <w:lang w:val="es-ES"/>
        </w:rPr>
        <w:t>de la norma y la obligación de información.</w:t>
      </w:r>
      <w:r w:rsidR="00A93FA7">
        <w:rPr>
          <w:rFonts w:ascii="Arial" w:hAnsi="Arial" w:cs="Arial"/>
          <w:sz w:val="22"/>
          <w:szCs w:val="22"/>
          <w:lang w:val="es-ES"/>
        </w:rPr>
        <w:t xml:space="preserve"> </w:t>
      </w:r>
    </w:p>
    <w:p w:rsidR="00390D79" w:rsidRDefault="00390D79" w:rsidP="00A5547B">
      <w:pPr>
        <w:spacing w:before="100" w:beforeAutospacing="1" w:after="100" w:afterAutospacing="1"/>
        <w:ind w:left="360" w:right="249"/>
        <w:jc w:val="both"/>
        <w:rPr>
          <w:rFonts w:ascii="Arial" w:hAnsi="Arial" w:cs="Arial"/>
          <w:sz w:val="22"/>
          <w:szCs w:val="22"/>
          <w:lang w:val="es-ES"/>
        </w:rPr>
      </w:pPr>
    </w:p>
    <w:p w:rsidR="00A5547B" w:rsidRDefault="00A5547B" w:rsidP="00B3593E">
      <w:pPr>
        <w:pStyle w:val="Ttulo1"/>
        <w:numPr>
          <w:ilvl w:val="0"/>
          <w:numId w:val="27"/>
        </w:numPr>
        <w:rPr>
          <w:rStyle w:val="Ttulodellibro"/>
          <w:rFonts w:cs="Arial"/>
          <w:sz w:val="22"/>
          <w:szCs w:val="22"/>
          <w:lang w:val="es-ES"/>
        </w:rPr>
      </w:pPr>
      <w:bookmarkStart w:id="4" w:name="_Toc83974159"/>
      <w:r w:rsidRPr="008D25EE">
        <w:rPr>
          <w:rStyle w:val="Ttulodellibro"/>
          <w:rFonts w:cs="Arial"/>
          <w:sz w:val="22"/>
          <w:szCs w:val="22"/>
          <w:lang w:val="es-ES"/>
        </w:rPr>
        <w:t>Objetivos de la regulación</w:t>
      </w:r>
      <w:bookmarkEnd w:id="4"/>
    </w:p>
    <w:p w:rsidR="00B3593E" w:rsidRDefault="00B3593E" w:rsidP="00B3593E">
      <w:pPr>
        <w:spacing w:before="100" w:beforeAutospacing="1" w:after="100" w:afterAutospacing="1"/>
        <w:ind w:left="360" w:right="249"/>
        <w:jc w:val="both"/>
        <w:rPr>
          <w:rFonts w:ascii="Arial" w:hAnsi="Arial" w:cs="Arial"/>
          <w:sz w:val="22"/>
          <w:szCs w:val="22"/>
          <w:lang w:val="es-ES"/>
        </w:rPr>
      </w:pPr>
    </w:p>
    <w:p w:rsidR="00B3593E" w:rsidRPr="00B3593E" w:rsidRDefault="00B3593E" w:rsidP="00B3593E">
      <w:pPr>
        <w:pStyle w:val="Prrafodelista"/>
        <w:numPr>
          <w:ilvl w:val="0"/>
          <w:numId w:val="26"/>
        </w:numPr>
        <w:spacing w:before="100" w:beforeAutospacing="1" w:after="100" w:afterAutospacing="1"/>
        <w:ind w:right="249"/>
        <w:jc w:val="both"/>
        <w:rPr>
          <w:rFonts w:ascii="Arial" w:hAnsi="Arial" w:cs="Arial"/>
          <w:sz w:val="22"/>
          <w:szCs w:val="22"/>
          <w:lang w:val="es-ES"/>
        </w:rPr>
      </w:pPr>
      <w:r>
        <w:rPr>
          <w:rFonts w:ascii="Arial" w:hAnsi="Arial" w:cs="Arial"/>
          <w:sz w:val="22"/>
          <w:szCs w:val="22"/>
          <w:lang w:val="es-ES"/>
        </w:rPr>
        <w:t>Respecto</w:t>
      </w:r>
      <w:r w:rsidRPr="00B3593E">
        <w:rPr>
          <w:rFonts w:ascii="Arial" w:hAnsi="Arial" w:cs="Arial"/>
          <w:sz w:val="22"/>
          <w:szCs w:val="22"/>
          <w:lang w:val="es-ES"/>
        </w:rPr>
        <w:t xml:space="preserve"> a la propuesta de modificación del </w:t>
      </w:r>
      <w:r w:rsidRPr="00B3593E">
        <w:rPr>
          <w:rFonts w:ascii="Arial" w:hAnsi="Arial" w:cs="Arial"/>
          <w:i/>
          <w:sz w:val="22"/>
          <w:szCs w:val="22"/>
          <w:u w:val="single"/>
          <w:lang w:val="es-ES"/>
        </w:rPr>
        <w:t>Anexo I</w:t>
      </w:r>
      <w:r w:rsidRPr="00B3593E">
        <w:rPr>
          <w:rFonts w:ascii="Arial" w:hAnsi="Arial" w:cs="Arial"/>
          <w:sz w:val="22"/>
          <w:szCs w:val="22"/>
          <w:u w:val="single"/>
          <w:lang w:val="es-ES"/>
        </w:rPr>
        <w:t xml:space="preserve"> del Real Decreto 78/2019</w:t>
      </w:r>
      <w:r w:rsidRPr="00B3593E">
        <w:rPr>
          <w:rFonts w:ascii="Arial" w:hAnsi="Arial" w:cs="Arial"/>
          <w:sz w:val="22"/>
          <w:szCs w:val="22"/>
          <w:lang w:val="es-ES"/>
        </w:rPr>
        <w:t>:</w:t>
      </w:r>
    </w:p>
    <w:p w:rsidR="00B3593E" w:rsidRDefault="00B3593E" w:rsidP="00B3593E">
      <w:pPr>
        <w:pStyle w:val="Prrafodelista"/>
        <w:rPr>
          <w:lang w:val="es-ES"/>
        </w:rPr>
      </w:pPr>
    </w:p>
    <w:p w:rsidR="0033659F" w:rsidRDefault="0033659F" w:rsidP="00B3593E">
      <w:pPr>
        <w:spacing w:before="100" w:beforeAutospacing="1" w:after="100" w:afterAutospacing="1"/>
        <w:ind w:left="360" w:right="249"/>
        <w:jc w:val="both"/>
        <w:rPr>
          <w:rFonts w:ascii="Arial" w:hAnsi="Arial" w:cs="Arial"/>
          <w:sz w:val="22"/>
          <w:szCs w:val="22"/>
          <w:lang w:val="es-ES"/>
        </w:rPr>
      </w:pPr>
      <w:r>
        <w:rPr>
          <w:rFonts w:ascii="Arial" w:hAnsi="Arial" w:cs="Arial"/>
          <w:sz w:val="22"/>
          <w:szCs w:val="22"/>
          <w:lang w:val="es-ES"/>
        </w:rPr>
        <w:t xml:space="preserve">El objetivo es actualizar la Lista 1, recogida en el Anexo I del Real Decreto 78/2019. </w:t>
      </w:r>
    </w:p>
    <w:p w:rsidR="00B3593E" w:rsidRDefault="00B3593E" w:rsidP="00B3593E">
      <w:pPr>
        <w:spacing w:before="100" w:beforeAutospacing="1" w:after="100" w:afterAutospacing="1"/>
        <w:ind w:left="360" w:right="249"/>
        <w:jc w:val="both"/>
        <w:rPr>
          <w:rFonts w:ascii="Arial" w:hAnsi="Arial" w:cs="Arial"/>
          <w:sz w:val="22"/>
          <w:szCs w:val="22"/>
          <w:lang w:val="es-ES"/>
        </w:rPr>
      </w:pPr>
      <w:r>
        <w:rPr>
          <w:rFonts w:ascii="Arial" w:hAnsi="Arial" w:cs="Arial"/>
          <w:sz w:val="22"/>
          <w:szCs w:val="22"/>
          <w:lang w:val="es-ES"/>
        </w:rPr>
        <w:t>Para que el listado de sustancias químicas de la Convención opere plenamente, dando cumplimiento íntegro a las medidas de control sobre todas las sustancias previstas en la Convención</w:t>
      </w:r>
      <w:r w:rsidR="0033659F">
        <w:rPr>
          <w:rFonts w:ascii="Arial" w:hAnsi="Arial" w:cs="Arial"/>
          <w:sz w:val="22"/>
          <w:szCs w:val="22"/>
          <w:lang w:val="es-ES"/>
        </w:rPr>
        <w:t xml:space="preserve"> actualmente en vigor</w:t>
      </w:r>
      <w:r>
        <w:rPr>
          <w:rFonts w:ascii="Arial" w:hAnsi="Arial" w:cs="Arial"/>
          <w:sz w:val="22"/>
          <w:szCs w:val="22"/>
          <w:lang w:val="es-ES"/>
        </w:rPr>
        <w:t xml:space="preserve">, es necesario </w:t>
      </w:r>
      <w:r w:rsidR="00873FE6">
        <w:rPr>
          <w:rFonts w:ascii="Arial" w:hAnsi="Arial" w:cs="Arial"/>
          <w:sz w:val="22"/>
          <w:szCs w:val="22"/>
          <w:lang w:val="es-ES"/>
        </w:rPr>
        <w:t>incorporar</w:t>
      </w:r>
      <w:r>
        <w:rPr>
          <w:rFonts w:ascii="Arial" w:hAnsi="Arial" w:cs="Arial"/>
          <w:sz w:val="22"/>
          <w:szCs w:val="22"/>
          <w:lang w:val="es-ES"/>
        </w:rPr>
        <w:t xml:space="preserve"> al Anexo I del Real Decreto 78/2019, las </w:t>
      </w:r>
      <w:r w:rsidR="00873FE6">
        <w:rPr>
          <w:rFonts w:ascii="Arial" w:hAnsi="Arial" w:cs="Arial"/>
          <w:sz w:val="22"/>
          <w:szCs w:val="22"/>
          <w:lang w:val="es-ES"/>
        </w:rPr>
        <w:t>nuevas familias de sustancias químicas</w:t>
      </w:r>
      <w:r>
        <w:rPr>
          <w:rFonts w:ascii="Arial" w:hAnsi="Arial" w:cs="Arial"/>
          <w:sz w:val="22"/>
          <w:szCs w:val="22"/>
          <w:lang w:val="es-ES"/>
        </w:rPr>
        <w:t xml:space="preserve">. </w:t>
      </w:r>
    </w:p>
    <w:p w:rsidR="005635AE" w:rsidRDefault="005635AE" w:rsidP="00B3593E">
      <w:pPr>
        <w:pStyle w:val="Prrafodelista"/>
        <w:rPr>
          <w:lang w:val="es-ES"/>
        </w:rPr>
      </w:pPr>
    </w:p>
    <w:p w:rsidR="00036998" w:rsidRPr="007A7D70" w:rsidRDefault="00036998" w:rsidP="00036998">
      <w:pPr>
        <w:pStyle w:val="Prrafodelista"/>
        <w:numPr>
          <w:ilvl w:val="0"/>
          <w:numId w:val="26"/>
        </w:numPr>
        <w:spacing w:before="100" w:beforeAutospacing="1" w:after="100" w:afterAutospacing="1"/>
        <w:ind w:right="249"/>
        <w:jc w:val="both"/>
        <w:rPr>
          <w:rFonts w:ascii="Arial" w:hAnsi="Arial" w:cs="Arial"/>
          <w:sz w:val="22"/>
          <w:szCs w:val="22"/>
          <w:lang w:val="es-ES"/>
        </w:rPr>
      </w:pPr>
      <w:r w:rsidRPr="007A7D70">
        <w:rPr>
          <w:rFonts w:ascii="Arial" w:hAnsi="Arial" w:cs="Arial"/>
          <w:sz w:val="22"/>
          <w:szCs w:val="22"/>
          <w:lang w:val="es-ES"/>
        </w:rPr>
        <w:t xml:space="preserve">Respecto a la propuesta de modificación del </w:t>
      </w:r>
      <w:r w:rsidRPr="007A7D70">
        <w:rPr>
          <w:rFonts w:ascii="Arial" w:hAnsi="Arial" w:cs="Arial"/>
          <w:i/>
          <w:sz w:val="22"/>
          <w:szCs w:val="22"/>
          <w:u w:val="single"/>
          <w:lang w:val="es-ES"/>
        </w:rPr>
        <w:t>Anexo I</w:t>
      </w:r>
      <w:r>
        <w:rPr>
          <w:rFonts w:ascii="Arial" w:hAnsi="Arial" w:cs="Arial"/>
          <w:i/>
          <w:sz w:val="22"/>
          <w:szCs w:val="22"/>
          <w:u w:val="single"/>
          <w:lang w:val="es-ES"/>
        </w:rPr>
        <w:t>I y III</w:t>
      </w:r>
      <w:r w:rsidRPr="007A7D70">
        <w:rPr>
          <w:rFonts w:ascii="Arial" w:hAnsi="Arial" w:cs="Arial"/>
          <w:sz w:val="22"/>
          <w:szCs w:val="22"/>
          <w:u w:val="single"/>
          <w:lang w:val="es-ES"/>
        </w:rPr>
        <w:t xml:space="preserve"> del Real Decreto 78/2019</w:t>
      </w:r>
      <w:r w:rsidRPr="007A7D70">
        <w:rPr>
          <w:rFonts w:ascii="Arial" w:hAnsi="Arial" w:cs="Arial"/>
          <w:sz w:val="22"/>
          <w:szCs w:val="22"/>
          <w:lang w:val="es-ES"/>
        </w:rPr>
        <w:t>:</w:t>
      </w:r>
    </w:p>
    <w:p w:rsidR="00B3593E" w:rsidRDefault="00B3593E" w:rsidP="00B3593E">
      <w:pPr>
        <w:pStyle w:val="Prrafodelista"/>
        <w:rPr>
          <w:lang w:val="es-ES"/>
        </w:rPr>
      </w:pPr>
    </w:p>
    <w:p w:rsidR="00456AD7" w:rsidRPr="00873FE6" w:rsidRDefault="00456AD7" w:rsidP="00873FE6">
      <w:pPr>
        <w:spacing w:before="100" w:beforeAutospacing="1" w:after="100" w:afterAutospacing="1"/>
        <w:ind w:left="360" w:right="249"/>
        <w:jc w:val="both"/>
        <w:rPr>
          <w:rFonts w:ascii="Arial" w:hAnsi="Arial" w:cs="Arial"/>
          <w:sz w:val="22"/>
          <w:szCs w:val="22"/>
          <w:lang w:val="es-ES"/>
        </w:rPr>
      </w:pPr>
      <w:r w:rsidRPr="00873FE6">
        <w:rPr>
          <w:rFonts w:ascii="Arial" w:hAnsi="Arial" w:cs="Arial"/>
          <w:sz w:val="22"/>
          <w:szCs w:val="22"/>
          <w:lang w:val="es-ES"/>
        </w:rPr>
        <w:t>Las modificaciones de los distintos formularios del Anexo II y III, responde a diferentes objetivos:</w:t>
      </w:r>
    </w:p>
    <w:p w:rsidR="00456AD7" w:rsidRDefault="00456AD7" w:rsidP="00B3593E">
      <w:pPr>
        <w:pStyle w:val="Prrafodelista"/>
        <w:rPr>
          <w:rFonts w:ascii="Arial" w:eastAsia="Times New Roman" w:hAnsi="Arial" w:cs="Arial"/>
          <w:sz w:val="22"/>
          <w:szCs w:val="22"/>
          <w:lang w:val="es-ES" w:eastAsia="es-ES"/>
        </w:rPr>
      </w:pPr>
    </w:p>
    <w:p w:rsidR="002373C1" w:rsidRDefault="002373C1" w:rsidP="00B3593E">
      <w:pPr>
        <w:pStyle w:val="Prrafodelista"/>
        <w:rPr>
          <w:rFonts w:ascii="Arial" w:eastAsia="Times New Roman" w:hAnsi="Arial" w:cs="Arial"/>
          <w:sz w:val="22"/>
          <w:szCs w:val="22"/>
          <w:lang w:val="es-ES" w:eastAsia="es-ES"/>
        </w:rPr>
      </w:pPr>
    </w:p>
    <w:p w:rsidR="002373C1" w:rsidRDefault="002373C1" w:rsidP="00B3593E">
      <w:pPr>
        <w:pStyle w:val="Prrafodelista"/>
        <w:rPr>
          <w:rFonts w:ascii="Arial" w:eastAsia="Times New Roman" w:hAnsi="Arial" w:cs="Arial"/>
          <w:sz w:val="22"/>
          <w:szCs w:val="22"/>
          <w:lang w:val="es-ES" w:eastAsia="es-ES"/>
        </w:rPr>
      </w:pPr>
    </w:p>
    <w:p w:rsidR="002373C1" w:rsidRDefault="002373C1" w:rsidP="00B3593E">
      <w:pPr>
        <w:pStyle w:val="Prrafodelista"/>
        <w:rPr>
          <w:rFonts w:ascii="Arial" w:eastAsia="Times New Roman" w:hAnsi="Arial" w:cs="Arial"/>
          <w:sz w:val="22"/>
          <w:szCs w:val="22"/>
          <w:lang w:val="es-ES" w:eastAsia="es-ES"/>
        </w:rPr>
      </w:pPr>
    </w:p>
    <w:p w:rsidR="00456AD7" w:rsidRDefault="00456AD7" w:rsidP="00B3593E">
      <w:pPr>
        <w:pStyle w:val="Prrafodelista"/>
        <w:rPr>
          <w:rFonts w:ascii="Arial" w:eastAsia="Times New Roman" w:hAnsi="Arial" w:cs="Arial"/>
          <w:sz w:val="22"/>
          <w:szCs w:val="22"/>
          <w:lang w:val="es-ES" w:eastAsia="es-ES"/>
        </w:rPr>
      </w:pPr>
      <w:r>
        <w:rPr>
          <w:rFonts w:ascii="Arial" w:eastAsia="Times New Roman" w:hAnsi="Arial" w:cs="Arial"/>
          <w:sz w:val="22"/>
          <w:szCs w:val="22"/>
          <w:lang w:val="es-ES" w:eastAsia="es-ES"/>
        </w:rPr>
        <w:tab/>
      </w:r>
      <w:r w:rsidRPr="00456AD7">
        <w:rPr>
          <w:rFonts w:ascii="Arial" w:eastAsia="Times New Roman" w:hAnsi="Arial" w:cs="Arial"/>
          <w:sz w:val="22"/>
          <w:szCs w:val="22"/>
          <w:u w:val="single"/>
          <w:lang w:val="es-ES" w:eastAsia="es-ES"/>
        </w:rPr>
        <w:t>Anexo II</w:t>
      </w:r>
      <w:r>
        <w:rPr>
          <w:rFonts w:ascii="Arial" w:eastAsia="Times New Roman" w:hAnsi="Arial" w:cs="Arial"/>
          <w:sz w:val="22"/>
          <w:szCs w:val="22"/>
          <w:lang w:val="es-ES" w:eastAsia="es-ES"/>
        </w:rPr>
        <w:t xml:space="preserve">: </w:t>
      </w:r>
    </w:p>
    <w:p w:rsidR="00456AD7" w:rsidRPr="00456AD7" w:rsidRDefault="00456AD7" w:rsidP="00B3593E">
      <w:pPr>
        <w:pStyle w:val="Prrafodelista"/>
        <w:rPr>
          <w:rFonts w:ascii="Arial" w:eastAsia="Times New Roman" w:hAnsi="Arial" w:cs="Arial"/>
          <w:sz w:val="22"/>
          <w:szCs w:val="22"/>
          <w:lang w:val="es-ES" w:eastAsia="es-ES"/>
        </w:rPr>
      </w:pPr>
    </w:p>
    <w:p w:rsidR="0033659F" w:rsidRDefault="0033659F" w:rsidP="00456AD7">
      <w:pPr>
        <w:pStyle w:val="Prrafodelista"/>
        <w:numPr>
          <w:ilvl w:val="1"/>
          <w:numId w:val="22"/>
        </w:numPr>
        <w:spacing w:before="100" w:beforeAutospacing="1" w:after="100" w:afterAutospacing="1"/>
        <w:ind w:right="249"/>
        <w:jc w:val="both"/>
        <w:rPr>
          <w:rFonts w:ascii="Arial" w:hAnsi="Arial" w:cs="Arial"/>
          <w:sz w:val="22"/>
          <w:szCs w:val="22"/>
          <w:lang w:val="es-ES"/>
        </w:rPr>
      </w:pPr>
      <w:r w:rsidRPr="00456AD7">
        <w:rPr>
          <w:rFonts w:ascii="Arial" w:hAnsi="Arial" w:cs="Arial"/>
          <w:sz w:val="22"/>
          <w:szCs w:val="22"/>
          <w:lang w:val="es-ES"/>
        </w:rPr>
        <w:t>Formulario FL2: en el formulario actualmente en vigor se le solicita al operador que venda o ceda sustancias de lista 2</w:t>
      </w:r>
      <w:r w:rsidR="008B2DC7" w:rsidRPr="00456AD7">
        <w:rPr>
          <w:rFonts w:ascii="Arial" w:hAnsi="Arial" w:cs="Arial"/>
          <w:sz w:val="22"/>
          <w:szCs w:val="22"/>
          <w:lang w:val="es-ES"/>
        </w:rPr>
        <w:t>, que indique</w:t>
      </w:r>
      <w:r w:rsidRPr="00456AD7">
        <w:rPr>
          <w:rFonts w:ascii="Arial" w:hAnsi="Arial" w:cs="Arial"/>
          <w:sz w:val="22"/>
          <w:szCs w:val="22"/>
          <w:lang w:val="es-ES"/>
        </w:rPr>
        <w:t xml:space="preserve"> </w:t>
      </w:r>
      <w:r w:rsidR="008B2DC7" w:rsidRPr="00456AD7">
        <w:rPr>
          <w:rFonts w:ascii="Arial" w:hAnsi="Arial" w:cs="Arial"/>
          <w:sz w:val="22"/>
          <w:szCs w:val="22"/>
          <w:lang w:val="es-ES"/>
        </w:rPr>
        <w:t>la cantidad total vendida, y los destinatarios;</w:t>
      </w:r>
      <w:r w:rsidRPr="00456AD7">
        <w:rPr>
          <w:rFonts w:ascii="Arial" w:hAnsi="Arial" w:cs="Arial"/>
          <w:sz w:val="22"/>
          <w:szCs w:val="22"/>
          <w:lang w:val="es-ES"/>
        </w:rPr>
        <w:t xml:space="preserve"> con la propuesta de modificación, </w:t>
      </w:r>
      <w:r w:rsidR="008B2DC7" w:rsidRPr="00456AD7">
        <w:rPr>
          <w:rFonts w:ascii="Arial" w:hAnsi="Arial" w:cs="Arial"/>
          <w:sz w:val="22"/>
          <w:szCs w:val="22"/>
          <w:lang w:val="es-ES"/>
        </w:rPr>
        <w:t>se solicita que</w:t>
      </w:r>
      <w:r w:rsidRPr="00456AD7">
        <w:rPr>
          <w:rFonts w:ascii="Arial" w:hAnsi="Arial" w:cs="Arial"/>
          <w:sz w:val="22"/>
          <w:szCs w:val="22"/>
          <w:lang w:val="es-ES"/>
        </w:rPr>
        <w:t xml:space="preserve"> además indique qué cantidad cede o vende</w:t>
      </w:r>
      <w:r w:rsidR="008B2DC7" w:rsidRPr="00456AD7">
        <w:rPr>
          <w:rFonts w:ascii="Arial" w:hAnsi="Arial" w:cs="Arial"/>
          <w:sz w:val="22"/>
          <w:szCs w:val="22"/>
          <w:lang w:val="es-ES"/>
        </w:rPr>
        <w:t xml:space="preserve"> a cada</w:t>
      </w:r>
      <w:r w:rsidR="00873FE6">
        <w:rPr>
          <w:rFonts w:ascii="Arial" w:hAnsi="Arial" w:cs="Arial"/>
          <w:sz w:val="22"/>
          <w:szCs w:val="22"/>
          <w:lang w:val="es-ES"/>
        </w:rPr>
        <w:t xml:space="preserve"> uno de los</w:t>
      </w:r>
      <w:r w:rsidR="008B2DC7" w:rsidRPr="00456AD7">
        <w:rPr>
          <w:rFonts w:ascii="Arial" w:hAnsi="Arial" w:cs="Arial"/>
          <w:sz w:val="22"/>
          <w:szCs w:val="22"/>
          <w:lang w:val="es-ES"/>
        </w:rPr>
        <w:t xml:space="preserve"> destinatario</w:t>
      </w:r>
      <w:r w:rsidR="00873FE6">
        <w:rPr>
          <w:rFonts w:ascii="Arial" w:hAnsi="Arial" w:cs="Arial"/>
          <w:sz w:val="22"/>
          <w:szCs w:val="22"/>
          <w:lang w:val="es-ES"/>
        </w:rPr>
        <w:t>s</w:t>
      </w:r>
      <w:r w:rsidR="008B2DC7" w:rsidRPr="00456AD7">
        <w:rPr>
          <w:rFonts w:ascii="Arial" w:hAnsi="Arial" w:cs="Arial"/>
          <w:sz w:val="22"/>
          <w:szCs w:val="22"/>
          <w:lang w:val="es-ES"/>
        </w:rPr>
        <w:t>. Con este desglose de las ventas,</w:t>
      </w:r>
      <w:r w:rsidRPr="00456AD7">
        <w:rPr>
          <w:rFonts w:ascii="Arial" w:hAnsi="Arial" w:cs="Arial"/>
          <w:sz w:val="22"/>
          <w:szCs w:val="22"/>
          <w:lang w:val="es-ES"/>
        </w:rPr>
        <w:t xml:space="preserve"> </w:t>
      </w:r>
      <w:r w:rsidR="008B2DC7" w:rsidRPr="00456AD7">
        <w:rPr>
          <w:rFonts w:ascii="Arial" w:hAnsi="Arial" w:cs="Arial"/>
          <w:sz w:val="22"/>
          <w:szCs w:val="22"/>
          <w:lang w:val="es-ES"/>
        </w:rPr>
        <w:t xml:space="preserve">se </w:t>
      </w:r>
      <w:r w:rsidR="00456AD7" w:rsidRPr="00456AD7">
        <w:rPr>
          <w:rFonts w:ascii="Arial" w:hAnsi="Arial" w:cs="Arial"/>
          <w:sz w:val="22"/>
          <w:szCs w:val="22"/>
          <w:lang w:val="es-ES"/>
        </w:rPr>
        <w:t>podrán identificar</w:t>
      </w:r>
      <w:r w:rsidRPr="00456AD7">
        <w:rPr>
          <w:rFonts w:ascii="Arial" w:hAnsi="Arial" w:cs="Arial"/>
          <w:sz w:val="22"/>
          <w:szCs w:val="22"/>
          <w:lang w:val="es-ES"/>
        </w:rPr>
        <w:t xml:space="preserve"> potenciales sujetos obligados que </w:t>
      </w:r>
      <w:r w:rsidR="008B2DC7" w:rsidRPr="00456AD7">
        <w:rPr>
          <w:rFonts w:ascii="Arial" w:hAnsi="Arial" w:cs="Arial"/>
          <w:sz w:val="22"/>
          <w:szCs w:val="22"/>
          <w:lang w:val="es-ES"/>
        </w:rPr>
        <w:t xml:space="preserve">desconozcan su eventual obligación de declarar, </w:t>
      </w:r>
      <w:r w:rsidR="00456AD7" w:rsidRPr="00456AD7">
        <w:rPr>
          <w:rFonts w:ascii="Arial" w:hAnsi="Arial" w:cs="Arial"/>
          <w:sz w:val="22"/>
          <w:szCs w:val="22"/>
          <w:lang w:val="es-ES"/>
        </w:rPr>
        <w:t xml:space="preserve">la cual </w:t>
      </w:r>
      <w:r w:rsidR="008B2DC7" w:rsidRPr="00456AD7">
        <w:rPr>
          <w:rFonts w:ascii="Arial" w:hAnsi="Arial" w:cs="Arial"/>
          <w:sz w:val="22"/>
          <w:szCs w:val="22"/>
          <w:lang w:val="es-ES"/>
        </w:rPr>
        <w:t>es función de la cantidad de sustancia con la que opera.</w:t>
      </w:r>
    </w:p>
    <w:p w:rsidR="00456AD7" w:rsidRPr="00456AD7" w:rsidRDefault="00456AD7" w:rsidP="00456AD7">
      <w:pPr>
        <w:pStyle w:val="Prrafodelista"/>
        <w:spacing w:before="100" w:beforeAutospacing="1" w:after="100" w:afterAutospacing="1"/>
        <w:ind w:left="1437" w:right="249"/>
        <w:jc w:val="both"/>
        <w:rPr>
          <w:rFonts w:ascii="Arial" w:hAnsi="Arial" w:cs="Arial"/>
          <w:sz w:val="22"/>
          <w:szCs w:val="22"/>
          <w:lang w:val="es-ES"/>
        </w:rPr>
      </w:pPr>
    </w:p>
    <w:p w:rsidR="008B2DC7" w:rsidRPr="00456AD7" w:rsidRDefault="008B2DC7" w:rsidP="00456AD7">
      <w:pPr>
        <w:pStyle w:val="Prrafodelista"/>
        <w:numPr>
          <w:ilvl w:val="1"/>
          <w:numId w:val="22"/>
        </w:numPr>
        <w:spacing w:before="100" w:beforeAutospacing="1" w:after="100" w:afterAutospacing="1"/>
        <w:ind w:right="249"/>
        <w:jc w:val="both"/>
        <w:rPr>
          <w:rFonts w:ascii="Arial" w:hAnsi="Arial" w:cs="Arial"/>
          <w:sz w:val="22"/>
          <w:szCs w:val="22"/>
          <w:lang w:val="es-ES"/>
        </w:rPr>
      </w:pPr>
      <w:r w:rsidRPr="00456AD7">
        <w:rPr>
          <w:rFonts w:ascii="Arial" w:hAnsi="Arial" w:cs="Arial"/>
          <w:sz w:val="22"/>
          <w:szCs w:val="22"/>
          <w:lang w:val="es-ES"/>
        </w:rPr>
        <w:t xml:space="preserve">Formulario FSO: </w:t>
      </w:r>
      <w:r w:rsidR="00873FE6">
        <w:rPr>
          <w:rFonts w:ascii="Arial" w:hAnsi="Arial" w:cs="Arial"/>
          <w:sz w:val="22"/>
          <w:szCs w:val="22"/>
          <w:lang w:val="es-ES"/>
        </w:rPr>
        <w:t>se reformula la solicitud de información</w:t>
      </w:r>
      <w:r w:rsidRPr="00456AD7">
        <w:rPr>
          <w:rFonts w:ascii="Arial" w:hAnsi="Arial" w:cs="Arial"/>
          <w:sz w:val="22"/>
          <w:szCs w:val="22"/>
          <w:lang w:val="es-ES"/>
        </w:rPr>
        <w:t xml:space="preserve"> para</w:t>
      </w:r>
      <w:r w:rsidR="00873FE6">
        <w:rPr>
          <w:rFonts w:ascii="Arial" w:hAnsi="Arial" w:cs="Arial"/>
          <w:sz w:val="22"/>
          <w:szCs w:val="22"/>
          <w:lang w:val="es-ES"/>
        </w:rPr>
        <w:t xml:space="preserve"> una interpretación más clara</w:t>
      </w:r>
      <w:r w:rsidR="00036998" w:rsidRPr="00456AD7">
        <w:rPr>
          <w:rFonts w:ascii="Arial" w:hAnsi="Arial" w:cs="Arial"/>
          <w:sz w:val="22"/>
          <w:szCs w:val="22"/>
          <w:lang w:val="es-ES"/>
        </w:rPr>
        <w:t xml:space="preserve"> en aspectos que resultan ambiguos</w:t>
      </w:r>
      <w:r w:rsidR="00873FE6">
        <w:rPr>
          <w:rFonts w:ascii="Arial" w:hAnsi="Arial" w:cs="Arial"/>
          <w:sz w:val="22"/>
          <w:szCs w:val="22"/>
          <w:lang w:val="es-ES"/>
        </w:rPr>
        <w:t>,</w:t>
      </w:r>
      <w:r w:rsidRPr="00456AD7">
        <w:rPr>
          <w:rFonts w:ascii="Arial" w:hAnsi="Arial" w:cs="Arial"/>
          <w:sz w:val="22"/>
          <w:szCs w:val="22"/>
          <w:lang w:val="es-ES"/>
        </w:rPr>
        <w:t xml:space="preserve"> a efectos de criterio de declarabilidad</w:t>
      </w:r>
      <w:r w:rsidR="00036998" w:rsidRPr="00456AD7">
        <w:rPr>
          <w:rFonts w:ascii="Arial" w:hAnsi="Arial" w:cs="Arial"/>
          <w:sz w:val="22"/>
          <w:szCs w:val="22"/>
          <w:lang w:val="es-ES"/>
        </w:rPr>
        <w:t>.</w:t>
      </w:r>
    </w:p>
    <w:p w:rsidR="00456AD7" w:rsidRPr="00456AD7" w:rsidRDefault="00456AD7" w:rsidP="00456AD7">
      <w:pPr>
        <w:pStyle w:val="Prrafodelista"/>
        <w:rPr>
          <w:rFonts w:ascii="Arial" w:hAnsi="Arial" w:cs="Arial"/>
          <w:sz w:val="22"/>
          <w:szCs w:val="22"/>
          <w:lang w:val="es-ES"/>
        </w:rPr>
      </w:pPr>
    </w:p>
    <w:p w:rsidR="00036998" w:rsidRPr="00456AD7" w:rsidRDefault="008B2DC7" w:rsidP="00456AD7">
      <w:pPr>
        <w:pStyle w:val="Prrafodelista"/>
        <w:numPr>
          <w:ilvl w:val="1"/>
          <w:numId w:val="22"/>
        </w:numPr>
        <w:spacing w:before="100" w:beforeAutospacing="1" w:after="100" w:afterAutospacing="1"/>
        <w:ind w:right="249"/>
        <w:jc w:val="both"/>
        <w:rPr>
          <w:rFonts w:ascii="Arial" w:hAnsi="Arial" w:cs="Arial"/>
          <w:sz w:val="22"/>
          <w:szCs w:val="22"/>
          <w:lang w:val="es-ES"/>
        </w:rPr>
      </w:pPr>
      <w:r w:rsidRPr="00456AD7">
        <w:rPr>
          <w:rFonts w:ascii="Arial" w:hAnsi="Arial" w:cs="Arial"/>
          <w:sz w:val="22"/>
          <w:szCs w:val="22"/>
          <w:lang w:val="es-ES"/>
        </w:rPr>
        <w:t>Formularios FEX L1, FEX L2, FEX L3: en el campo 1.9 de los formularios en vigor, se solicita el Nº de registro Especial de Exportadores (REE). Este número ya no está en vigor, habiéndose sustituido por el Registro Especial de Operadores de Comercio Exterior (REOCE). Sin embargo, el REOCE es sólo condición necesaria, pero no suficiente, para realizar legalmente operaciones de comercio exterior de sustancias listadas, de conformidad con la</w:t>
      </w:r>
    </w:p>
    <w:p w:rsidR="008B2DC7" w:rsidRDefault="008B2DC7" w:rsidP="00456AD7">
      <w:pPr>
        <w:spacing w:before="100" w:beforeAutospacing="1" w:after="100" w:afterAutospacing="1"/>
        <w:ind w:left="2042" w:right="249"/>
        <w:jc w:val="both"/>
        <w:rPr>
          <w:rFonts w:ascii="Arial" w:hAnsi="Arial" w:cs="Arial"/>
          <w:sz w:val="22"/>
          <w:szCs w:val="22"/>
          <w:lang w:val="es-ES"/>
        </w:rPr>
      </w:pPr>
      <w:r w:rsidRPr="008B2DC7">
        <w:rPr>
          <w:rFonts w:ascii="Arial" w:hAnsi="Arial" w:cs="Arial"/>
          <w:sz w:val="22"/>
          <w:szCs w:val="22"/>
          <w:lang w:val="es-ES"/>
        </w:rPr>
        <w:t>Ley 53/2007, de 28 de diciembre, sobre el control del comercio exterior de mat</w:t>
      </w:r>
      <w:r>
        <w:rPr>
          <w:rFonts w:ascii="Arial" w:hAnsi="Arial" w:cs="Arial"/>
          <w:sz w:val="22"/>
          <w:szCs w:val="22"/>
          <w:lang w:val="es-ES"/>
        </w:rPr>
        <w:t xml:space="preserve">erial de defensa y de doble uso; el </w:t>
      </w:r>
    </w:p>
    <w:p w:rsidR="008B2DC7" w:rsidRDefault="008B2DC7" w:rsidP="00456AD7">
      <w:pPr>
        <w:spacing w:before="100" w:beforeAutospacing="1" w:after="100" w:afterAutospacing="1"/>
        <w:ind w:left="2042" w:right="249"/>
        <w:jc w:val="both"/>
        <w:rPr>
          <w:rFonts w:ascii="Arial" w:hAnsi="Arial" w:cs="Arial"/>
          <w:sz w:val="22"/>
          <w:szCs w:val="22"/>
          <w:lang w:val="es-ES"/>
        </w:rPr>
      </w:pPr>
      <w:r w:rsidRPr="008B2DC7">
        <w:rPr>
          <w:rFonts w:ascii="Arial" w:hAnsi="Arial" w:cs="Arial"/>
          <w:sz w:val="22"/>
          <w:szCs w:val="22"/>
          <w:lang w:val="es-ES"/>
        </w:rPr>
        <w:t>Real Decreto 679/2014, de 1 de agosto, por el que se aprueba el Reglamento de control del comercio exterior de material de defensa, de otro material y de produ</w:t>
      </w:r>
      <w:r>
        <w:rPr>
          <w:rFonts w:ascii="Arial" w:hAnsi="Arial" w:cs="Arial"/>
          <w:sz w:val="22"/>
          <w:szCs w:val="22"/>
          <w:lang w:val="es-ES"/>
        </w:rPr>
        <w:t>ctos y tecnologías de doble uso; y el</w:t>
      </w:r>
    </w:p>
    <w:p w:rsidR="008B2DC7" w:rsidRDefault="008B2DC7" w:rsidP="00456AD7">
      <w:pPr>
        <w:spacing w:before="100" w:beforeAutospacing="1" w:after="100" w:afterAutospacing="1"/>
        <w:ind w:left="2042" w:right="249"/>
        <w:jc w:val="both"/>
        <w:rPr>
          <w:rFonts w:ascii="Arial" w:hAnsi="Arial" w:cs="Arial"/>
          <w:sz w:val="22"/>
          <w:szCs w:val="22"/>
          <w:lang w:val="es-ES"/>
        </w:rPr>
      </w:pPr>
      <w:r>
        <w:rPr>
          <w:rFonts w:ascii="Arial" w:hAnsi="Arial" w:cs="Arial"/>
          <w:sz w:val="22"/>
          <w:szCs w:val="22"/>
          <w:lang w:val="es-ES"/>
        </w:rPr>
        <w:t xml:space="preserve">Reglamento </w:t>
      </w:r>
      <w:r w:rsidRPr="008B2DC7">
        <w:rPr>
          <w:rFonts w:ascii="Arial" w:hAnsi="Arial" w:cs="Arial"/>
          <w:sz w:val="22"/>
          <w:szCs w:val="22"/>
          <w:lang w:val="es-ES"/>
        </w:rPr>
        <w:t xml:space="preserve">(UE) 2021/821 </w:t>
      </w:r>
      <w:r>
        <w:rPr>
          <w:rFonts w:ascii="Arial" w:hAnsi="Arial" w:cs="Arial"/>
          <w:sz w:val="22"/>
          <w:szCs w:val="22"/>
          <w:lang w:val="es-ES"/>
        </w:rPr>
        <w:t xml:space="preserve">del Parlamento Europeo y del Consejo, </w:t>
      </w:r>
      <w:r w:rsidRPr="008B2DC7">
        <w:rPr>
          <w:rFonts w:ascii="Arial" w:hAnsi="Arial" w:cs="Arial"/>
          <w:sz w:val="22"/>
          <w:szCs w:val="22"/>
          <w:lang w:val="es-ES"/>
        </w:rPr>
        <w:t>de 20 de mayo de 2021</w:t>
      </w:r>
      <w:r>
        <w:rPr>
          <w:rFonts w:ascii="Arial" w:hAnsi="Arial" w:cs="Arial"/>
          <w:sz w:val="22"/>
          <w:szCs w:val="22"/>
          <w:lang w:val="es-ES"/>
        </w:rPr>
        <w:t xml:space="preserve">, </w:t>
      </w:r>
      <w:r w:rsidRPr="008B2DC7">
        <w:rPr>
          <w:rFonts w:ascii="Arial" w:hAnsi="Arial" w:cs="Arial"/>
          <w:sz w:val="22"/>
          <w:szCs w:val="22"/>
          <w:lang w:val="es-ES"/>
        </w:rPr>
        <w:t>por el que se establece un régimen de la Unión de control de las exportaciones, el corretaje, la asistencia técnica, el tránsito y la transferencia de productos de doble uso</w:t>
      </w:r>
    </w:p>
    <w:p w:rsidR="008B2DC7" w:rsidRDefault="008B2DC7" w:rsidP="00036998">
      <w:pPr>
        <w:spacing w:before="100" w:beforeAutospacing="1" w:after="100" w:afterAutospacing="1"/>
        <w:ind w:left="360" w:right="249"/>
        <w:jc w:val="both"/>
        <w:rPr>
          <w:rFonts w:ascii="Arial" w:hAnsi="Arial" w:cs="Arial"/>
          <w:sz w:val="22"/>
          <w:szCs w:val="22"/>
          <w:lang w:val="es-ES"/>
        </w:rPr>
      </w:pPr>
      <w:r>
        <w:rPr>
          <w:rFonts w:ascii="Arial" w:hAnsi="Arial" w:cs="Arial"/>
          <w:sz w:val="22"/>
          <w:szCs w:val="22"/>
          <w:lang w:val="es-ES"/>
        </w:rPr>
        <w:t xml:space="preserve">Por ello, puesto que la transferencia de sustancias de Lista 1, Lista 2 y Lista 3 requiere según la normativa anterior, de autorización administrativa, se sustituye la solicitud del REE, por la del </w:t>
      </w:r>
      <w:r w:rsidRPr="008B2DC7">
        <w:rPr>
          <w:rFonts w:ascii="Arial" w:hAnsi="Arial" w:cs="Arial"/>
          <w:i/>
          <w:sz w:val="22"/>
          <w:szCs w:val="22"/>
          <w:lang w:val="es-ES"/>
        </w:rPr>
        <w:t>Nº de licencia de transferencia de Material de Defensa y doble Uso</w:t>
      </w:r>
      <w:r w:rsidR="00873FE6">
        <w:rPr>
          <w:rFonts w:ascii="Arial" w:hAnsi="Arial" w:cs="Arial"/>
          <w:sz w:val="22"/>
          <w:szCs w:val="22"/>
          <w:lang w:val="es-ES"/>
        </w:rPr>
        <w:t>;</w:t>
      </w:r>
      <w:r>
        <w:rPr>
          <w:rFonts w:ascii="Arial" w:hAnsi="Arial" w:cs="Arial"/>
          <w:sz w:val="22"/>
          <w:szCs w:val="22"/>
          <w:lang w:val="es-ES"/>
        </w:rPr>
        <w:t xml:space="preserve"> con esto, se persigue un doble objetivo:</w:t>
      </w:r>
    </w:p>
    <w:p w:rsidR="008B2DC7" w:rsidRPr="008B2DC7" w:rsidRDefault="008B2DC7" w:rsidP="008B2DC7">
      <w:pPr>
        <w:pStyle w:val="Prrafodelista"/>
        <w:numPr>
          <w:ilvl w:val="1"/>
          <w:numId w:val="22"/>
        </w:numPr>
        <w:spacing w:before="100" w:beforeAutospacing="1" w:after="100" w:afterAutospacing="1"/>
        <w:ind w:right="249"/>
        <w:jc w:val="both"/>
        <w:rPr>
          <w:rFonts w:ascii="Arial" w:hAnsi="Arial" w:cs="Arial"/>
          <w:sz w:val="22"/>
          <w:szCs w:val="22"/>
          <w:lang w:val="es-ES"/>
        </w:rPr>
      </w:pPr>
      <w:r w:rsidRPr="008B2DC7">
        <w:rPr>
          <w:rFonts w:ascii="Arial" w:hAnsi="Arial" w:cs="Arial"/>
          <w:sz w:val="22"/>
          <w:szCs w:val="22"/>
          <w:lang w:val="es-ES"/>
        </w:rPr>
        <w:t>Garantizar que Declare la transferencia el operador que en la práctica realiza la transferencia</w:t>
      </w:r>
      <w:r>
        <w:rPr>
          <w:rFonts w:ascii="Arial" w:hAnsi="Arial" w:cs="Arial"/>
          <w:sz w:val="22"/>
          <w:szCs w:val="22"/>
          <w:lang w:val="es-ES"/>
        </w:rPr>
        <w:t xml:space="preserve"> </w:t>
      </w:r>
    </w:p>
    <w:p w:rsidR="008B2DC7" w:rsidRPr="008B2DC7" w:rsidRDefault="008B2DC7" w:rsidP="008B2DC7">
      <w:pPr>
        <w:pStyle w:val="Prrafodelista"/>
        <w:numPr>
          <w:ilvl w:val="1"/>
          <w:numId w:val="22"/>
        </w:numPr>
        <w:spacing w:before="100" w:beforeAutospacing="1" w:after="100" w:afterAutospacing="1"/>
        <w:ind w:right="249"/>
        <w:jc w:val="both"/>
        <w:rPr>
          <w:rFonts w:ascii="Arial" w:hAnsi="Arial" w:cs="Arial"/>
          <w:sz w:val="22"/>
          <w:szCs w:val="22"/>
          <w:lang w:val="es-ES"/>
        </w:rPr>
      </w:pPr>
      <w:r w:rsidRPr="008B2DC7">
        <w:rPr>
          <w:rFonts w:ascii="Arial" w:hAnsi="Arial" w:cs="Arial"/>
          <w:sz w:val="22"/>
          <w:szCs w:val="22"/>
          <w:lang w:val="es-ES"/>
        </w:rPr>
        <w:t>Redundar en el carácter preceptivo de las autorizaciones de comercio exterior de sustancias listadas, al hacerlo explícito en el formulario de Declaración.</w:t>
      </w:r>
    </w:p>
    <w:p w:rsidR="00036998" w:rsidRDefault="00036998" w:rsidP="00B3593E">
      <w:pPr>
        <w:pStyle w:val="Prrafodelista"/>
        <w:rPr>
          <w:lang w:val="es-ES"/>
        </w:rPr>
      </w:pPr>
    </w:p>
    <w:p w:rsidR="0023154A" w:rsidRDefault="0023154A" w:rsidP="00B3593E">
      <w:pPr>
        <w:pStyle w:val="Prrafodelista"/>
        <w:rPr>
          <w:rFonts w:ascii="Arial" w:eastAsia="Times New Roman" w:hAnsi="Arial" w:cs="Arial"/>
          <w:sz w:val="22"/>
          <w:szCs w:val="22"/>
          <w:lang w:val="es-ES" w:eastAsia="es-ES"/>
        </w:rPr>
      </w:pPr>
    </w:p>
    <w:p w:rsidR="00036998" w:rsidRDefault="00456AD7" w:rsidP="00B3593E">
      <w:pPr>
        <w:pStyle w:val="Prrafodelista"/>
        <w:rPr>
          <w:rFonts w:ascii="Arial" w:eastAsia="Times New Roman" w:hAnsi="Arial" w:cs="Arial"/>
          <w:sz w:val="22"/>
          <w:szCs w:val="22"/>
          <w:lang w:val="es-ES" w:eastAsia="es-ES"/>
        </w:rPr>
      </w:pPr>
      <w:r>
        <w:rPr>
          <w:rFonts w:ascii="Arial" w:eastAsia="Times New Roman" w:hAnsi="Arial" w:cs="Arial"/>
          <w:sz w:val="22"/>
          <w:szCs w:val="22"/>
          <w:lang w:val="es-ES" w:eastAsia="es-ES"/>
        </w:rPr>
        <w:tab/>
      </w:r>
      <w:r w:rsidRPr="00456AD7">
        <w:rPr>
          <w:rFonts w:ascii="Arial" w:eastAsia="Times New Roman" w:hAnsi="Arial" w:cs="Arial"/>
          <w:sz w:val="22"/>
          <w:szCs w:val="22"/>
          <w:u w:val="single"/>
          <w:lang w:val="es-ES" w:eastAsia="es-ES"/>
        </w:rPr>
        <w:t>Anexo II</w:t>
      </w:r>
      <w:r>
        <w:rPr>
          <w:rFonts w:ascii="Arial" w:eastAsia="Times New Roman" w:hAnsi="Arial" w:cs="Arial"/>
          <w:sz w:val="22"/>
          <w:szCs w:val="22"/>
          <w:u w:val="single"/>
          <w:lang w:val="es-ES" w:eastAsia="es-ES"/>
        </w:rPr>
        <w:t>I</w:t>
      </w:r>
      <w:r>
        <w:rPr>
          <w:rFonts w:ascii="Arial" w:eastAsia="Times New Roman" w:hAnsi="Arial" w:cs="Arial"/>
          <w:sz w:val="22"/>
          <w:szCs w:val="22"/>
          <w:lang w:val="es-ES" w:eastAsia="es-ES"/>
        </w:rPr>
        <w:t>:</w:t>
      </w:r>
    </w:p>
    <w:p w:rsidR="00456AD7" w:rsidRDefault="00456AD7" w:rsidP="00456AD7">
      <w:pPr>
        <w:rPr>
          <w:lang w:val="es-ES"/>
        </w:rPr>
      </w:pPr>
    </w:p>
    <w:p w:rsidR="0023154A" w:rsidRDefault="00A678C5" w:rsidP="00415065">
      <w:pPr>
        <w:spacing w:before="100" w:beforeAutospacing="1" w:after="100" w:afterAutospacing="1"/>
        <w:ind w:left="360" w:right="249"/>
        <w:jc w:val="both"/>
        <w:rPr>
          <w:rFonts w:ascii="Arial" w:hAnsi="Arial" w:cs="Arial"/>
          <w:sz w:val="22"/>
          <w:szCs w:val="22"/>
          <w:lang w:val="es-ES"/>
        </w:rPr>
      </w:pPr>
      <w:r>
        <w:rPr>
          <w:rFonts w:ascii="Arial" w:hAnsi="Arial" w:cs="Arial"/>
          <w:sz w:val="22"/>
          <w:szCs w:val="22"/>
          <w:lang w:val="es-ES"/>
        </w:rPr>
        <w:t>En</w:t>
      </w:r>
      <w:r w:rsidR="00456AD7">
        <w:rPr>
          <w:rFonts w:ascii="Arial" w:hAnsi="Arial" w:cs="Arial"/>
          <w:sz w:val="22"/>
          <w:szCs w:val="22"/>
          <w:lang w:val="es-ES"/>
        </w:rPr>
        <w:t xml:space="preserve"> el formulario 2.5</w:t>
      </w:r>
      <w:r>
        <w:rPr>
          <w:rFonts w:ascii="Arial" w:hAnsi="Arial" w:cs="Arial"/>
          <w:sz w:val="22"/>
          <w:szCs w:val="22"/>
          <w:lang w:val="es-ES"/>
        </w:rPr>
        <w:t xml:space="preserve"> de la norma en vigor</w:t>
      </w:r>
      <w:r w:rsidR="00456AD7">
        <w:rPr>
          <w:rFonts w:ascii="Arial" w:hAnsi="Arial" w:cs="Arial"/>
          <w:sz w:val="22"/>
          <w:szCs w:val="22"/>
          <w:lang w:val="es-ES"/>
        </w:rPr>
        <w:t xml:space="preserve">, en la solicitud de cantidades no </w:t>
      </w:r>
      <w:r>
        <w:rPr>
          <w:rFonts w:ascii="Arial" w:hAnsi="Arial" w:cs="Arial"/>
          <w:sz w:val="22"/>
          <w:szCs w:val="22"/>
          <w:lang w:val="es-ES"/>
        </w:rPr>
        <w:t xml:space="preserve">se </w:t>
      </w:r>
      <w:r w:rsidR="00456AD7">
        <w:rPr>
          <w:rFonts w:ascii="Arial" w:hAnsi="Arial" w:cs="Arial"/>
          <w:sz w:val="22"/>
          <w:szCs w:val="22"/>
          <w:lang w:val="es-ES"/>
        </w:rPr>
        <w:t>requiere</w:t>
      </w:r>
      <w:r>
        <w:rPr>
          <w:rFonts w:ascii="Arial" w:hAnsi="Arial" w:cs="Arial"/>
          <w:sz w:val="22"/>
          <w:szCs w:val="22"/>
          <w:lang w:val="es-ES"/>
        </w:rPr>
        <w:t xml:space="preserve"> actualmente</w:t>
      </w:r>
      <w:r w:rsidR="00456AD7">
        <w:rPr>
          <w:rFonts w:ascii="Arial" w:hAnsi="Arial" w:cs="Arial"/>
          <w:sz w:val="22"/>
          <w:szCs w:val="22"/>
          <w:lang w:val="es-ES"/>
        </w:rPr>
        <w:t xml:space="preserve"> la pureza, como sí ocurre en declaraciones análogas del Anexo II, donde se requiere cantidad y pureza. Es</w:t>
      </w:r>
      <w:r w:rsidR="00AA083B">
        <w:rPr>
          <w:rFonts w:ascii="Arial" w:hAnsi="Arial" w:cs="Arial"/>
          <w:sz w:val="22"/>
          <w:szCs w:val="22"/>
          <w:lang w:val="es-ES"/>
        </w:rPr>
        <w:t>to ha dado lugar en la práctica</w:t>
      </w:r>
      <w:r w:rsidR="00456AD7">
        <w:rPr>
          <w:rFonts w:ascii="Arial" w:hAnsi="Arial" w:cs="Arial"/>
          <w:sz w:val="22"/>
          <w:szCs w:val="22"/>
          <w:lang w:val="es-ES"/>
        </w:rPr>
        <w:t xml:space="preserve"> a la d</w:t>
      </w:r>
      <w:r w:rsidR="00873FE6">
        <w:rPr>
          <w:rFonts w:ascii="Arial" w:hAnsi="Arial" w:cs="Arial"/>
          <w:sz w:val="22"/>
          <w:szCs w:val="22"/>
          <w:lang w:val="es-ES"/>
        </w:rPr>
        <w:t xml:space="preserve">eclaración de cantidades </w:t>
      </w:r>
    </w:p>
    <w:p w:rsidR="0023154A" w:rsidRDefault="0023154A" w:rsidP="00415065">
      <w:pPr>
        <w:spacing w:before="100" w:beforeAutospacing="1" w:after="100" w:afterAutospacing="1"/>
        <w:ind w:left="360" w:right="249"/>
        <w:jc w:val="both"/>
        <w:rPr>
          <w:rFonts w:ascii="Arial" w:hAnsi="Arial" w:cs="Arial"/>
          <w:sz w:val="22"/>
          <w:szCs w:val="22"/>
          <w:lang w:val="es-ES"/>
        </w:rPr>
      </w:pPr>
    </w:p>
    <w:p w:rsidR="00036998" w:rsidRDefault="00873FE6" w:rsidP="00415065">
      <w:pPr>
        <w:spacing w:before="100" w:beforeAutospacing="1" w:after="100" w:afterAutospacing="1"/>
        <w:ind w:left="360" w:right="249"/>
        <w:jc w:val="both"/>
        <w:rPr>
          <w:rFonts w:ascii="Arial" w:hAnsi="Arial" w:cs="Arial"/>
          <w:sz w:val="22"/>
          <w:szCs w:val="22"/>
          <w:lang w:val="es-ES"/>
        </w:rPr>
      </w:pPr>
      <w:r>
        <w:rPr>
          <w:rFonts w:ascii="Arial" w:hAnsi="Arial" w:cs="Arial"/>
          <w:sz w:val="22"/>
          <w:szCs w:val="22"/>
          <w:lang w:val="es-ES"/>
        </w:rPr>
        <w:t>brutas y no netas</w:t>
      </w:r>
      <w:r w:rsidR="00456AD7">
        <w:rPr>
          <w:rFonts w:ascii="Arial" w:hAnsi="Arial" w:cs="Arial"/>
          <w:sz w:val="22"/>
          <w:szCs w:val="22"/>
          <w:lang w:val="es-ES"/>
        </w:rPr>
        <w:t xml:space="preserve"> por </w:t>
      </w:r>
      <w:r>
        <w:rPr>
          <w:rFonts w:ascii="Arial" w:hAnsi="Arial" w:cs="Arial"/>
          <w:sz w:val="22"/>
          <w:szCs w:val="22"/>
          <w:lang w:val="es-ES"/>
        </w:rPr>
        <w:t>parte de operadores</w:t>
      </w:r>
      <w:r w:rsidR="00AA083B">
        <w:rPr>
          <w:rFonts w:ascii="Arial" w:hAnsi="Arial" w:cs="Arial"/>
          <w:sz w:val="22"/>
          <w:szCs w:val="22"/>
          <w:lang w:val="es-ES"/>
        </w:rPr>
        <w:t xml:space="preserve"> industriales</w:t>
      </w:r>
      <w:r>
        <w:rPr>
          <w:rFonts w:ascii="Arial" w:hAnsi="Arial" w:cs="Arial"/>
          <w:sz w:val="22"/>
          <w:szCs w:val="22"/>
          <w:lang w:val="es-ES"/>
        </w:rPr>
        <w:t>, en algunos casos incluso con efecto desfavorable en inspecciones físicas.</w:t>
      </w:r>
    </w:p>
    <w:p w:rsidR="00456AD7" w:rsidRPr="00456AD7" w:rsidRDefault="00456AD7" w:rsidP="00415065">
      <w:pPr>
        <w:spacing w:before="100" w:beforeAutospacing="1" w:after="100" w:afterAutospacing="1"/>
        <w:ind w:left="360" w:right="249"/>
        <w:jc w:val="both"/>
        <w:rPr>
          <w:rFonts w:ascii="Arial" w:hAnsi="Arial" w:cs="Arial"/>
          <w:sz w:val="22"/>
          <w:szCs w:val="22"/>
          <w:lang w:val="es-ES"/>
        </w:rPr>
      </w:pPr>
      <w:r>
        <w:rPr>
          <w:rFonts w:ascii="Arial" w:hAnsi="Arial" w:cs="Arial"/>
          <w:sz w:val="22"/>
          <w:szCs w:val="22"/>
          <w:lang w:val="es-ES"/>
        </w:rPr>
        <w:t xml:space="preserve">Para aclarar los valores </w:t>
      </w:r>
      <w:r w:rsidR="00873FE6">
        <w:rPr>
          <w:rFonts w:ascii="Arial" w:hAnsi="Arial" w:cs="Arial"/>
          <w:sz w:val="22"/>
          <w:szCs w:val="22"/>
          <w:lang w:val="es-ES"/>
        </w:rPr>
        <w:t>a declarar</w:t>
      </w:r>
      <w:r>
        <w:rPr>
          <w:rFonts w:ascii="Arial" w:hAnsi="Arial" w:cs="Arial"/>
          <w:sz w:val="22"/>
          <w:szCs w:val="22"/>
          <w:lang w:val="es-ES"/>
        </w:rPr>
        <w:t xml:space="preserve">, la propuesta de modificación añade a la solicitud de cantidad, la pureza. Así es como se hace en otros formularios, de forma que es posible recabar la información y determinar las cantidades correctas sujetas a </w:t>
      </w:r>
      <w:r w:rsidR="00A678C5">
        <w:rPr>
          <w:rFonts w:ascii="Arial" w:hAnsi="Arial" w:cs="Arial"/>
          <w:sz w:val="22"/>
          <w:szCs w:val="22"/>
          <w:lang w:val="es-ES"/>
        </w:rPr>
        <w:t>declaración.</w:t>
      </w:r>
    </w:p>
    <w:p w:rsidR="00036998" w:rsidRDefault="00036998" w:rsidP="00B3593E">
      <w:pPr>
        <w:pStyle w:val="Prrafodelista"/>
        <w:rPr>
          <w:lang w:val="es-ES"/>
        </w:rPr>
      </w:pPr>
    </w:p>
    <w:p w:rsidR="00036998" w:rsidRDefault="00036998" w:rsidP="00B3593E">
      <w:pPr>
        <w:pStyle w:val="Prrafodelista"/>
        <w:rPr>
          <w:lang w:val="es-ES"/>
        </w:rPr>
      </w:pPr>
    </w:p>
    <w:p w:rsidR="00C0421C" w:rsidRDefault="00776974" w:rsidP="00C0421C">
      <w:pPr>
        <w:pStyle w:val="Ttulo1"/>
        <w:numPr>
          <w:ilvl w:val="0"/>
          <w:numId w:val="27"/>
        </w:numPr>
        <w:rPr>
          <w:rStyle w:val="Ttulodellibro"/>
          <w:rFonts w:cs="Arial"/>
          <w:sz w:val="22"/>
          <w:szCs w:val="22"/>
          <w:lang w:val="es-ES"/>
        </w:rPr>
      </w:pPr>
      <w:r>
        <w:rPr>
          <w:rStyle w:val="Ttulodellibro"/>
          <w:rFonts w:cs="Arial"/>
          <w:sz w:val="22"/>
          <w:szCs w:val="22"/>
          <w:lang w:val="es-ES"/>
        </w:rPr>
        <w:t>Análisis de alternativas</w:t>
      </w:r>
    </w:p>
    <w:p w:rsidR="00C0421C" w:rsidRDefault="00C0421C" w:rsidP="00C0421C">
      <w:pPr>
        <w:pStyle w:val="Prrafodelista"/>
        <w:rPr>
          <w:lang w:val="es-ES"/>
        </w:rPr>
      </w:pPr>
    </w:p>
    <w:p w:rsidR="00776974" w:rsidRDefault="00776974" w:rsidP="002373C1">
      <w:pPr>
        <w:spacing w:before="100" w:beforeAutospacing="1" w:after="100" w:afterAutospacing="1"/>
        <w:ind w:right="249"/>
        <w:jc w:val="both"/>
        <w:rPr>
          <w:rFonts w:ascii="Arial" w:hAnsi="Arial" w:cs="Arial"/>
          <w:sz w:val="22"/>
          <w:szCs w:val="22"/>
          <w:lang w:val="es-ES"/>
        </w:rPr>
      </w:pPr>
      <w:r>
        <w:rPr>
          <w:rFonts w:ascii="Arial" w:hAnsi="Arial" w:cs="Arial"/>
          <w:sz w:val="22"/>
          <w:szCs w:val="22"/>
          <w:lang w:val="es-ES"/>
        </w:rPr>
        <w:t>La alternativa a la propuesta es la no actualización de los Anexos I, II y III, especialmente el primero de ellos.</w:t>
      </w:r>
    </w:p>
    <w:p w:rsidR="00036998" w:rsidRDefault="00776974" w:rsidP="002373C1">
      <w:pPr>
        <w:spacing w:before="100" w:beforeAutospacing="1" w:after="100" w:afterAutospacing="1"/>
        <w:ind w:right="249"/>
        <w:jc w:val="both"/>
        <w:rPr>
          <w:rFonts w:ascii="Arial" w:hAnsi="Arial" w:cs="Arial"/>
          <w:sz w:val="22"/>
          <w:szCs w:val="22"/>
          <w:lang w:val="es-ES"/>
        </w:rPr>
      </w:pPr>
      <w:r>
        <w:rPr>
          <w:rFonts w:ascii="Arial" w:hAnsi="Arial" w:cs="Arial"/>
          <w:sz w:val="22"/>
          <w:szCs w:val="22"/>
          <w:lang w:val="es-ES"/>
        </w:rPr>
        <w:t xml:space="preserve">No se han valorado más alternativas que la elaboración de un proyecto de orden ministerial puesto que en la actualidad el listado de sustancias químicas de la Convención sólo está operando en España parcialmente. Se hace necesario explicitar la Lista 1 del Anexo de Sustancias Químicas </w:t>
      </w:r>
      <w:r w:rsidR="00712C73">
        <w:rPr>
          <w:rFonts w:ascii="Arial" w:hAnsi="Arial" w:cs="Arial"/>
          <w:sz w:val="22"/>
          <w:szCs w:val="22"/>
          <w:lang w:val="es-ES"/>
        </w:rPr>
        <w:t xml:space="preserve">de la Convención </w:t>
      </w:r>
      <w:r>
        <w:rPr>
          <w:rFonts w:ascii="Arial" w:hAnsi="Arial" w:cs="Arial"/>
          <w:sz w:val="22"/>
          <w:szCs w:val="22"/>
          <w:lang w:val="es-ES"/>
        </w:rPr>
        <w:t>de manera íntegra, pues el Real Decreto 78/2019 actualmente no somete a control todas las sustancias químicas de la Lista 1 de la Convención.</w:t>
      </w:r>
    </w:p>
    <w:p w:rsidR="00776974" w:rsidRPr="00B3593E" w:rsidRDefault="00776974" w:rsidP="002373C1">
      <w:pPr>
        <w:spacing w:before="100" w:beforeAutospacing="1" w:after="100" w:afterAutospacing="1"/>
        <w:ind w:right="249"/>
        <w:jc w:val="both"/>
        <w:rPr>
          <w:lang w:val="es-ES"/>
        </w:rPr>
      </w:pPr>
      <w:r>
        <w:rPr>
          <w:rFonts w:ascii="Arial" w:hAnsi="Arial" w:cs="Arial"/>
          <w:sz w:val="22"/>
          <w:szCs w:val="22"/>
          <w:lang w:val="es-ES"/>
        </w:rPr>
        <w:t xml:space="preserve">La modificación que plantea la presente propuesta, responde a lo previsto en la Disposición final segunda del Real Decreto 78/2019, según la cual se autoriza al Ministerio de Industria y Turismo a modificar los anexos del reglamento. </w:t>
      </w:r>
    </w:p>
    <w:p w:rsidR="00A5547B" w:rsidRDefault="00A5547B">
      <w:pPr>
        <w:pStyle w:val="Textonotapie"/>
        <w:tabs>
          <w:tab w:val="left" w:pos="1021"/>
          <w:tab w:val="left" w:pos="8080"/>
        </w:tabs>
        <w:rPr>
          <w:rFonts w:ascii="Arial" w:hAnsi="Arial" w:cs="Arial"/>
          <w:sz w:val="24"/>
          <w:szCs w:val="24"/>
        </w:rPr>
      </w:pPr>
    </w:p>
    <w:p w:rsidR="00776974" w:rsidRDefault="00776974">
      <w:pPr>
        <w:pStyle w:val="Textonotapie"/>
        <w:tabs>
          <w:tab w:val="left" w:pos="1021"/>
          <w:tab w:val="left" w:pos="8080"/>
        </w:tabs>
        <w:rPr>
          <w:rFonts w:ascii="Arial" w:hAnsi="Arial" w:cs="Arial"/>
          <w:sz w:val="24"/>
          <w:szCs w:val="24"/>
        </w:rPr>
      </w:pPr>
    </w:p>
    <w:p w:rsidR="00776974" w:rsidRDefault="00776974" w:rsidP="00776974">
      <w:pPr>
        <w:pStyle w:val="Ttulo1"/>
        <w:numPr>
          <w:ilvl w:val="0"/>
          <w:numId w:val="27"/>
        </w:numPr>
        <w:rPr>
          <w:rStyle w:val="Ttulodellibro"/>
          <w:rFonts w:cs="Arial"/>
          <w:sz w:val="22"/>
          <w:szCs w:val="22"/>
          <w:lang w:val="es-ES"/>
        </w:rPr>
      </w:pPr>
      <w:r>
        <w:rPr>
          <w:rStyle w:val="Ttulodellibro"/>
          <w:rFonts w:cs="Arial"/>
          <w:sz w:val="22"/>
          <w:szCs w:val="22"/>
          <w:lang w:val="es-ES"/>
        </w:rPr>
        <w:t>Adecuación a los principios de buena regulación</w:t>
      </w:r>
    </w:p>
    <w:p w:rsidR="00776974" w:rsidRDefault="00776974" w:rsidP="00776974">
      <w:pPr>
        <w:rPr>
          <w:lang w:val="es-ES"/>
        </w:rPr>
      </w:pPr>
    </w:p>
    <w:p w:rsidR="00776974" w:rsidRDefault="00776974" w:rsidP="00776974">
      <w:pPr>
        <w:rPr>
          <w:lang w:val="es-ES"/>
        </w:rPr>
      </w:pPr>
    </w:p>
    <w:p w:rsidR="00776974" w:rsidRDefault="00776974" w:rsidP="00776974">
      <w:pPr>
        <w:pStyle w:val="Default"/>
        <w:jc w:val="both"/>
        <w:rPr>
          <w:sz w:val="23"/>
          <w:szCs w:val="23"/>
        </w:rPr>
      </w:pPr>
      <w:r>
        <w:rPr>
          <w:sz w:val="23"/>
          <w:szCs w:val="23"/>
        </w:rPr>
        <w:t xml:space="preserve">La norma se adecua a los principios de buena regulación de conformidad con el artículo 129 de la Ley 39/2015, de 1 de octubre, del Procedimiento Administrativo Común de las Administraciones Públicas. En concreto, cumple con los principios de necesidad y eficacia y con el objetivo de llevar a cabo la evaluación periódica del ordenamiento jurídico, ya que las modificaciones introducidas vienen motivadas, por un lado, por la exigencia de actualizar las sustancias sometidas a control dentro de la Lista 1 de la Convención, y, por otro, por la necesidad de evitar errores en las declaraciones de actividades </w:t>
      </w:r>
      <w:r w:rsidR="00712C73">
        <w:rPr>
          <w:sz w:val="23"/>
          <w:szCs w:val="23"/>
        </w:rPr>
        <w:t>resultado de</w:t>
      </w:r>
      <w:r>
        <w:rPr>
          <w:sz w:val="23"/>
          <w:szCs w:val="23"/>
        </w:rPr>
        <w:t xml:space="preserve"> una interpretación en ocasiones ambigua de los criterios de declaración. </w:t>
      </w:r>
    </w:p>
    <w:p w:rsidR="00776974" w:rsidRDefault="00776974" w:rsidP="00776974">
      <w:pPr>
        <w:pStyle w:val="Default"/>
        <w:jc w:val="both"/>
        <w:rPr>
          <w:sz w:val="23"/>
          <w:szCs w:val="23"/>
        </w:rPr>
      </w:pPr>
    </w:p>
    <w:p w:rsidR="00776974" w:rsidRDefault="00776974" w:rsidP="00074FA0">
      <w:pPr>
        <w:pStyle w:val="Default"/>
        <w:jc w:val="both"/>
        <w:rPr>
          <w:color w:val="auto"/>
          <w:sz w:val="23"/>
          <w:szCs w:val="23"/>
        </w:rPr>
      </w:pPr>
      <w:r>
        <w:rPr>
          <w:sz w:val="23"/>
          <w:szCs w:val="23"/>
        </w:rPr>
        <w:t>Asimismo, se adecua al principio de proporcionalidad dado que la norma contiene la regulación i</w:t>
      </w:r>
      <w:r>
        <w:rPr>
          <w:color w:val="auto"/>
          <w:sz w:val="23"/>
          <w:szCs w:val="23"/>
        </w:rPr>
        <w:t xml:space="preserve">mprescindible para el cumplimiento de su objetivo. La orden también garantiza el principio de seguridad jurídica, alineando el ordenamiento jurídico en esta materia con las Decisiones de la Conferencia de los Estados Parte de la OPAQ. Por lo demás, la orden resulta conforme con el principio de transparencia, dado que define claramente su justificación y objetivos. Finalmente, la norma propuesta es conforme al principio de eficiencia dado que no impone cargas administrativas innecesarias o accesorias. </w:t>
      </w:r>
      <w:r w:rsidR="00074FA0" w:rsidRPr="00074FA0">
        <w:rPr>
          <w:color w:val="auto"/>
          <w:sz w:val="23"/>
          <w:szCs w:val="23"/>
        </w:rPr>
        <w:t>Asimismo, respecto al gasto público cabe señalar que el impacto</w:t>
      </w:r>
      <w:r w:rsidR="00074FA0">
        <w:rPr>
          <w:color w:val="auto"/>
          <w:sz w:val="23"/>
          <w:szCs w:val="23"/>
        </w:rPr>
        <w:t xml:space="preserve"> </w:t>
      </w:r>
      <w:r w:rsidR="00074FA0" w:rsidRPr="00074FA0">
        <w:rPr>
          <w:color w:val="auto"/>
          <w:sz w:val="23"/>
          <w:szCs w:val="23"/>
        </w:rPr>
        <w:t>presupuestario es nulo y no compromete los principios de estabilidad presupuestaria y</w:t>
      </w:r>
      <w:r w:rsidR="00074FA0">
        <w:rPr>
          <w:color w:val="auto"/>
          <w:sz w:val="23"/>
          <w:szCs w:val="23"/>
        </w:rPr>
        <w:t xml:space="preserve"> </w:t>
      </w:r>
      <w:r w:rsidR="00074FA0" w:rsidRPr="00074FA0">
        <w:rPr>
          <w:color w:val="auto"/>
          <w:sz w:val="23"/>
          <w:szCs w:val="23"/>
        </w:rPr>
        <w:t>sostenibilidad financiera</w:t>
      </w:r>
      <w:r w:rsidR="00074FA0">
        <w:rPr>
          <w:color w:val="auto"/>
          <w:sz w:val="23"/>
          <w:szCs w:val="23"/>
        </w:rPr>
        <w:t>.</w:t>
      </w:r>
    </w:p>
    <w:p w:rsidR="00A5547B" w:rsidRDefault="00A5547B" w:rsidP="00776974">
      <w:pPr>
        <w:spacing w:before="100" w:beforeAutospacing="1" w:after="100" w:afterAutospacing="1"/>
        <w:ind w:left="360" w:right="249"/>
        <w:jc w:val="both"/>
        <w:rPr>
          <w:rFonts w:ascii="Arial" w:hAnsi="Arial" w:cs="Arial"/>
          <w:sz w:val="22"/>
          <w:szCs w:val="22"/>
          <w:lang w:val="es-ES"/>
        </w:rPr>
      </w:pPr>
    </w:p>
    <w:p w:rsidR="005635AE" w:rsidRDefault="005635AE" w:rsidP="00F13334">
      <w:pPr>
        <w:spacing w:before="100" w:beforeAutospacing="1" w:after="100" w:afterAutospacing="1"/>
        <w:ind w:left="360" w:right="249"/>
        <w:jc w:val="both"/>
        <w:rPr>
          <w:rFonts w:ascii="Arial" w:hAnsi="Arial" w:cs="Arial"/>
          <w:sz w:val="22"/>
          <w:szCs w:val="22"/>
          <w:lang w:val="es-ES"/>
        </w:rPr>
      </w:pPr>
    </w:p>
    <w:p w:rsidR="00F13334" w:rsidRDefault="00F13334" w:rsidP="00F13334">
      <w:pPr>
        <w:pStyle w:val="Ttulo1"/>
        <w:ind w:left="360"/>
        <w:rPr>
          <w:rFonts w:cs="Arial"/>
          <w:szCs w:val="24"/>
          <w:lang w:val="es-ES"/>
        </w:rPr>
      </w:pPr>
      <w:r w:rsidRPr="008D25EE">
        <w:rPr>
          <w:rFonts w:cs="Arial"/>
          <w:szCs w:val="24"/>
          <w:lang w:val="es-ES"/>
        </w:rPr>
        <w:t>II</w:t>
      </w:r>
      <w:r>
        <w:rPr>
          <w:rFonts w:cs="Arial"/>
          <w:szCs w:val="24"/>
          <w:lang w:val="es-ES"/>
        </w:rPr>
        <w:t>I</w:t>
      </w:r>
      <w:r w:rsidRPr="008D25EE">
        <w:rPr>
          <w:rFonts w:cs="Arial"/>
          <w:szCs w:val="24"/>
          <w:lang w:val="es-ES"/>
        </w:rPr>
        <w:t xml:space="preserve">. </w:t>
      </w:r>
      <w:r>
        <w:rPr>
          <w:rFonts w:cs="Arial"/>
          <w:szCs w:val="24"/>
          <w:lang w:val="es-ES"/>
        </w:rPr>
        <w:t>CONTENIDO DE LA ORDEN, ANÁLISIS JURÍDICO Y TRAMITACIÓN</w:t>
      </w:r>
    </w:p>
    <w:p w:rsidR="00F13334" w:rsidRPr="007A7D70" w:rsidRDefault="00F13334" w:rsidP="00F13334">
      <w:pPr>
        <w:rPr>
          <w:lang w:val="es-ES"/>
        </w:rPr>
      </w:pPr>
    </w:p>
    <w:p w:rsidR="00F13334" w:rsidRPr="007A7D70" w:rsidRDefault="00F13334" w:rsidP="00F13334">
      <w:pPr>
        <w:rPr>
          <w:lang w:val="es-ES"/>
        </w:rPr>
      </w:pPr>
    </w:p>
    <w:p w:rsidR="00F13334" w:rsidRPr="008D25EE" w:rsidRDefault="00F13334" w:rsidP="00F13334">
      <w:pPr>
        <w:pStyle w:val="Ttulo1"/>
        <w:ind w:left="360"/>
        <w:rPr>
          <w:rStyle w:val="Ttulodellibro"/>
          <w:rFonts w:cs="Arial"/>
          <w:i w:val="0"/>
          <w:sz w:val="22"/>
          <w:szCs w:val="22"/>
          <w:lang w:val="es-ES"/>
        </w:rPr>
      </w:pPr>
      <w:r>
        <w:rPr>
          <w:rStyle w:val="Ttulodellibro"/>
          <w:rFonts w:cs="Arial"/>
          <w:sz w:val="22"/>
          <w:szCs w:val="22"/>
          <w:lang w:val="es-ES"/>
        </w:rPr>
        <w:t>1. Contenido</w:t>
      </w:r>
      <w:r w:rsidRPr="008D25EE">
        <w:rPr>
          <w:rStyle w:val="Ttulodellibro"/>
          <w:rFonts w:cs="Arial"/>
          <w:sz w:val="22"/>
          <w:szCs w:val="22"/>
          <w:lang w:val="es-ES"/>
        </w:rPr>
        <w:t xml:space="preserve"> </w:t>
      </w:r>
    </w:p>
    <w:p w:rsidR="00A5547B" w:rsidRDefault="00A5547B">
      <w:pPr>
        <w:pStyle w:val="Textonotapie"/>
        <w:tabs>
          <w:tab w:val="left" w:pos="1021"/>
          <w:tab w:val="left" w:pos="8080"/>
        </w:tabs>
        <w:rPr>
          <w:rFonts w:ascii="Arial" w:hAnsi="Arial" w:cs="Arial"/>
          <w:sz w:val="24"/>
          <w:szCs w:val="24"/>
        </w:rPr>
      </w:pPr>
    </w:p>
    <w:p w:rsidR="00A5547B" w:rsidRDefault="00A5547B">
      <w:pPr>
        <w:pStyle w:val="Textonotapie"/>
        <w:tabs>
          <w:tab w:val="left" w:pos="1021"/>
          <w:tab w:val="left" w:pos="8080"/>
        </w:tabs>
        <w:rPr>
          <w:rFonts w:ascii="Arial" w:hAnsi="Arial" w:cs="Arial"/>
          <w:sz w:val="24"/>
          <w:szCs w:val="24"/>
        </w:rPr>
      </w:pPr>
    </w:p>
    <w:p w:rsidR="00F13334" w:rsidRDefault="00F13334" w:rsidP="00F13334">
      <w:pPr>
        <w:pStyle w:val="Textonotapie"/>
        <w:tabs>
          <w:tab w:val="left" w:pos="1021"/>
          <w:tab w:val="left" w:pos="8080"/>
        </w:tabs>
        <w:rPr>
          <w:rFonts w:ascii="Arial" w:hAnsi="Arial" w:cs="Arial"/>
          <w:sz w:val="24"/>
          <w:szCs w:val="24"/>
        </w:rPr>
      </w:pPr>
      <w:r>
        <w:rPr>
          <w:rFonts w:ascii="Arial" w:hAnsi="Arial" w:cs="Arial"/>
          <w:sz w:val="24"/>
          <w:szCs w:val="24"/>
        </w:rPr>
        <w:t>El proyecto de orden tiene la siguiente estructura:</w:t>
      </w:r>
    </w:p>
    <w:p w:rsidR="005635AE" w:rsidRDefault="005635AE" w:rsidP="00F13334">
      <w:pPr>
        <w:pStyle w:val="Textonotapie"/>
        <w:tabs>
          <w:tab w:val="left" w:pos="1021"/>
          <w:tab w:val="left" w:pos="8080"/>
        </w:tabs>
        <w:rPr>
          <w:rFonts w:ascii="Arial" w:hAnsi="Arial" w:cs="Arial"/>
          <w:sz w:val="24"/>
          <w:szCs w:val="24"/>
        </w:rPr>
      </w:pPr>
    </w:p>
    <w:p w:rsidR="00F13334" w:rsidRDefault="00F13334" w:rsidP="00F13334">
      <w:pPr>
        <w:pStyle w:val="Textonotapie"/>
        <w:numPr>
          <w:ilvl w:val="1"/>
          <w:numId w:val="22"/>
        </w:numPr>
        <w:tabs>
          <w:tab w:val="left" w:pos="1021"/>
          <w:tab w:val="left" w:pos="8080"/>
        </w:tabs>
        <w:rPr>
          <w:rFonts w:ascii="Arial" w:hAnsi="Arial" w:cs="Arial"/>
          <w:sz w:val="24"/>
          <w:szCs w:val="24"/>
        </w:rPr>
      </w:pPr>
      <w:r>
        <w:rPr>
          <w:rFonts w:ascii="Arial" w:hAnsi="Arial" w:cs="Arial"/>
          <w:sz w:val="24"/>
          <w:szCs w:val="24"/>
        </w:rPr>
        <w:t>Preámbulo.</w:t>
      </w:r>
    </w:p>
    <w:p w:rsidR="005635AE" w:rsidRDefault="005635AE" w:rsidP="005635AE">
      <w:pPr>
        <w:pStyle w:val="Textonotapie"/>
        <w:tabs>
          <w:tab w:val="left" w:pos="1021"/>
          <w:tab w:val="left" w:pos="8080"/>
        </w:tabs>
        <w:ind w:left="1437"/>
        <w:rPr>
          <w:rFonts w:ascii="Arial" w:hAnsi="Arial" w:cs="Arial"/>
          <w:sz w:val="24"/>
          <w:szCs w:val="24"/>
        </w:rPr>
      </w:pPr>
    </w:p>
    <w:p w:rsidR="00F13334" w:rsidRDefault="00F13334" w:rsidP="00F13334">
      <w:pPr>
        <w:pStyle w:val="Textonotapie"/>
        <w:numPr>
          <w:ilvl w:val="1"/>
          <w:numId w:val="22"/>
        </w:numPr>
        <w:tabs>
          <w:tab w:val="left" w:pos="1021"/>
          <w:tab w:val="left" w:pos="8080"/>
        </w:tabs>
        <w:rPr>
          <w:rFonts w:ascii="Arial" w:hAnsi="Arial" w:cs="Arial"/>
          <w:sz w:val="24"/>
          <w:szCs w:val="24"/>
        </w:rPr>
      </w:pPr>
      <w:r>
        <w:rPr>
          <w:rFonts w:ascii="Arial" w:hAnsi="Arial" w:cs="Arial"/>
          <w:sz w:val="24"/>
          <w:szCs w:val="24"/>
        </w:rPr>
        <w:t xml:space="preserve">Artículo único, de </w:t>
      </w:r>
      <w:r w:rsidRPr="00F13334">
        <w:rPr>
          <w:rFonts w:ascii="Arial" w:hAnsi="Arial" w:cs="Arial"/>
          <w:sz w:val="24"/>
          <w:szCs w:val="24"/>
        </w:rPr>
        <w:t>Modificación de los Anexos I, II y III del Real Decreto</w:t>
      </w:r>
      <w:r>
        <w:rPr>
          <w:rFonts w:ascii="Arial" w:hAnsi="Arial" w:cs="Arial"/>
          <w:sz w:val="24"/>
          <w:szCs w:val="24"/>
        </w:rPr>
        <w:t xml:space="preserve"> </w:t>
      </w:r>
      <w:r w:rsidRPr="00F13334">
        <w:rPr>
          <w:rFonts w:ascii="Arial" w:hAnsi="Arial" w:cs="Arial"/>
          <w:sz w:val="24"/>
          <w:szCs w:val="24"/>
        </w:rPr>
        <w:t>78/2019, de 22 de febrero, por el que se aprueba el Reglamento que desarrolla la Ley 49/1999, de 20 de diciembre, sobre medidas de control de sustancias químicas susceptibles de desvío para la fabricación de armas químicas</w:t>
      </w:r>
      <w:r>
        <w:rPr>
          <w:rFonts w:ascii="Arial" w:hAnsi="Arial" w:cs="Arial"/>
          <w:sz w:val="24"/>
          <w:szCs w:val="24"/>
        </w:rPr>
        <w:t>.</w:t>
      </w:r>
    </w:p>
    <w:p w:rsidR="00F13334" w:rsidRDefault="00F13334" w:rsidP="005635AE">
      <w:pPr>
        <w:pStyle w:val="Textonotapie"/>
        <w:tabs>
          <w:tab w:val="left" w:pos="1021"/>
          <w:tab w:val="left" w:pos="8080"/>
        </w:tabs>
        <w:ind w:left="2042"/>
        <w:rPr>
          <w:rFonts w:ascii="Arial" w:hAnsi="Arial" w:cs="Arial"/>
          <w:sz w:val="24"/>
          <w:szCs w:val="24"/>
        </w:rPr>
      </w:pPr>
      <w:r>
        <w:rPr>
          <w:rFonts w:ascii="Arial" w:hAnsi="Arial" w:cs="Arial"/>
          <w:sz w:val="24"/>
          <w:szCs w:val="24"/>
        </w:rPr>
        <w:t>Se divide en tres apartados: e</w:t>
      </w:r>
      <w:r w:rsidRPr="00F13334">
        <w:rPr>
          <w:rFonts w:ascii="Arial" w:hAnsi="Arial" w:cs="Arial"/>
          <w:sz w:val="24"/>
          <w:szCs w:val="24"/>
        </w:rPr>
        <w:t>l primero amplía la lista de compu</w:t>
      </w:r>
      <w:r>
        <w:rPr>
          <w:rFonts w:ascii="Arial" w:hAnsi="Arial" w:cs="Arial"/>
          <w:sz w:val="24"/>
          <w:szCs w:val="24"/>
        </w:rPr>
        <w:t>estos de la Lista 1 del Anexo I; el</w:t>
      </w:r>
      <w:r w:rsidRPr="00F13334">
        <w:rPr>
          <w:rFonts w:ascii="Arial" w:hAnsi="Arial" w:cs="Arial"/>
          <w:sz w:val="24"/>
          <w:szCs w:val="24"/>
        </w:rPr>
        <w:t xml:space="preserve"> segundo y tercero modifican sendos Anexos II y III </w:t>
      </w:r>
      <w:r>
        <w:rPr>
          <w:rFonts w:ascii="Arial" w:hAnsi="Arial" w:cs="Arial"/>
          <w:sz w:val="24"/>
          <w:szCs w:val="24"/>
        </w:rPr>
        <w:t xml:space="preserve">respectivamente, </w:t>
      </w:r>
      <w:r w:rsidRPr="00F13334">
        <w:rPr>
          <w:rFonts w:ascii="Arial" w:hAnsi="Arial" w:cs="Arial"/>
          <w:sz w:val="24"/>
          <w:szCs w:val="24"/>
        </w:rPr>
        <w:t>para adecuar varios formularios.</w:t>
      </w:r>
    </w:p>
    <w:p w:rsidR="005635AE" w:rsidRDefault="005635AE" w:rsidP="005635AE">
      <w:pPr>
        <w:pStyle w:val="Textonotapie"/>
        <w:tabs>
          <w:tab w:val="left" w:pos="1021"/>
          <w:tab w:val="left" w:pos="8080"/>
        </w:tabs>
        <w:ind w:left="2042"/>
        <w:rPr>
          <w:rFonts w:ascii="Arial" w:hAnsi="Arial" w:cs="Arial"/>
          <w:sz w:val="24"/>
          <w:szCs w:val="24"/>
        </w:rPr>
      </w:pPr>
    </w:p>
    <w:p w:rsidR="00F13334" w:rsidRDefault="00F13334" w:rsidP="00F13334">
      <w:pPr>
        <w:pStyle w:val="Textonotapie"/>
        <w:numPr>
          <w:ilvl w:val="1"/>
          <w:numId w:val="22"/>
        </w:numPr>
        <w:tabs>
          <w:tab w:val="left" w:pos="1021"/>
          <w:tab w:val="left" w:pos="8080"/>
        </w:tabs>
        <w:rPr>
          <w:rFonts w:ascii="Arial" w:hAnsi="Arial" w:cs="Arial"/>
          <w:sz w:val="24"/>
          <w:szCs w:val="24"/>
        </w:rPr>
      </w:pPr>
      <w:r>
        <w:rPr>
          <w:rFonts w:ascii="Arial" w:hAnsi="Arial" w:cs="Arial"/>
          <w:sz w:val="24"/>
          <w:szCs w:val="24"/>
        </w:rPr>
        <w:t>Disposición final primera, sobre el título competencial.</w:t>
      </w:r>
    </w:p>
    <w:p w:rsidR="005635AE" w:rsidRDefault="005635AE" w:rsidP="005635AE">
      <w:pPr>
        <w:pStyle w:val="Textonotapie"/>
        <w:tabs>
          <w:tab w:val="left" w:pos="1021"/>
          <w:tab w:val="left" w:pos="8080"/>
        </w:tabs>
        <w:ind w:left="1437"/>
        <w:rPr>
          <w:rFonts w:ascii="Arial" w:hAnsi="Arial" w:cs="Arial"/>
          <w:sz w:val="24"/>
          <w:szCs w:val="24"/>
        </w:rPr>
      </w:pPr>
    </w:p>
    <w:p w:rsidR="00F13334" w:rsidRDefault="00F13334" w:rsidP="00F13334">
      <w:pPr>
        <w:pStyle w:val="Textonotapie"/>
        <w:numPr>
          <w:ilvl w:val="1"/>
          <w:numId w:val="22"/>
        </w:numPr>
        <w:tabs>
          <w:tab w:val="left" w:pos="1021"/>
          <w:tab w:val="left" w:pos="8080"/>
        </w:tabs>
        <w:rPr>
          <w:rFonts w:ascii="Arial" w:hAnsi="Arial" w:cs="Arial"/>
          <w:sz w:val="24"/>
          <w:szCs w:val="24"/>
        </w:rPr>
      </w:pPr>
      <w:r>
        <w:rPr>
          <w:rFonts w:ascii="Arial" w:hAnsi="Arial" w:cs="Arial"/>
          <w:sz w:val="24"/>
          <w:szCs w:val="24"/>
        </w:rPr>
        <w:t>Disposición final segunda, respecto a la entrada en vigor de la orden.</w:t>
      </w:r>
    </w:p>
    <w:p w:rsidR="00F13334" w:rsidRPr="00F13334" w:rsidRDefault="00F13334" w:rsidP="00F13334"/>
    <w:p w:rsidR="00F13334" w:rsidRDefault="00F13334" w:rsidP="00F13334">
      <w:pPr>
        <w:tabs>
          <w:tab w:val="left" w:pos="3437"/>
        </w:tabs>
      </w:pPr>
    </w:p>
    <w:p w:rsidR="005635AE" w:rsidRDefault="005635AE" w:rsidP="00F13334">
      <w:pPr>
        <w:tabs>
          <w:tab w:val="left" w:pos="3437"/>
        </w:tabs>
      </w:pPr>
    </w:p>
    <w:p w:rsidR="00F13334" w:rsidRPr="008D25EE" w:rsidRDefault="00F13334" w:rsidP="00F13334">
      <w:pPr>
        <w:pStyle w:val="Ttulo1"/>
        <w:ind w:left="360"/>
        <w:rPr>
          <w:rStyle w:val="Ttulodellibro"/>
          <w:rFonts w:cs="Arial"/>
          <w:i w:val="0"/>
          <w:sz w:val="22"/>
          <w:szCs w:val="22"/>
          <w:lang w:val="es-ES"/>
        </w:rPr>
      </w:pPr>
      <w:r>
        <w:rPr>
          <w:rStyle w:val="Ttulodellibro"/>
          <w:rFonts w:cs="Arial"/>
          <w:sz w:val="22"/>
          <w:szCs w:val="22"/>
          <w:lang w:val="es-ES"/>
        </w:rPr>
        <w:t xml:space="preserve">2. </w:t>
      </w:r>
      <w:r w:rsidR="00221536">
        <w:rPr>
          <w:rStyle w:val="Ttulodellibro"/>
          <w:rFonts w:cs="Arial"/>
          <w:sz w:val="22"/>
          <w:szCs w:val="22"/>
          <w:lang w:val="es-ES"/>
        </w:rPr>
        <w:t>Fundamento jurídico, rango normativo y tramitación</w:t>
      </w:r>
    </w:p>
    <w:p w:rsidR="00F13334" w:rsidRDefault="00F13334" w:rsidP="00F13334">
      <w:pPr>
        <w:pStyle w:val="Textonotapie"/>
        <w:tabs>
          <w:tab w:val="left" w:pos="1021"/>
          <w:tab w:val="left" w:pos="8080"/>
        </w:tabs>
        <w:rPr>
          <w:rFonts w:ascii="Arial" w:hAnsi="Arial" w:cs="Arial"/>
          <w:sz w:val="24"/>
          <w:szCs w:val="24"/>
        </w:rPr>
      </w:pPr>
    </w:p>
    <w:p w:rsidR="00F13334" w:rsidRDefault="00F13334" w:rsidP="00F13334">
      <w:pPr>
        <w:pStyle w:val="Textonotapie"/>
        <w:tabs>
          <w:tab w:val="left" w:pos="1021"/>
          <w:tab w:val="left" w:pos="8080"/>
        </w:tabs>
        <w:rPr>
          <w:rFonts w:ascii="Arial" w:hAnsi="Arial" w:cs="Arial"/>
          <w:sz w:val="24"/>
          <w:szCs w:val="24"/>
        </w:rPr>
      </w:pPr>
    </w:p>
    <w:p w:rsidR="00F13334" w:rsidRDefault="00F13334" w:rsidP="000D2AA1">
      <w:pPr>
        <w:tabs>
          <w:tab w:val="left" w:pos="3437"/>
        </w:tabs>
        <w:jc w:val="both"/>
        <w:rPr>
          <w:rFonts w:ascii="Arial" w:hAnsi="Arial" w:cs="Arial"/>
          <w:sz w:val="24"/>
          <w:szCs w:val="24"/>
        </w:rPr>
      </w:pPr>
      <w:r w:rsidRPr="00F13334">
        <w:rPr>
          <w:rFonts w:ascii="Arial" w:hAnsi="Arial" w:cs="Arial"/>
          <w:sz w:val="24"/>
          <w:szCs w:val="24"/>
        </w:rPr>
        <w:t>El fundamento legal del proyecto que se configura como una Orden reside en la disposición final</w:t>
      </w:r>
      <w:r>
        <w:rPr>
          <w:rFonts w:ascii="Arial" w:hAnsi="Arial" w:cs="Arial"/>
          <w:sz w:val="24"/>
          <w:szCs w:val="24"/>
        </w:rPr>
        <w:t xml:space="preserve"> segunda</w:t>
      </w:r>
      <w:r w:rsidR="00961B4C">
        <w:rPr>
          <w:rFonts w:ascii="Arial" w:hAnsi="Arial" w:cs="Arial"/>
          <w:sz w:val="24"/>
          <w:szCs w:val="24"/>
        </w:rPr>
        <w:t>, apartado 2,</w:t>
      </w:r>
      <w:r>
        <w:rPr>
          <w:rFonts w:ascii="Arial" w:hAnsi="Arial" w:cs="Arial"/>
          <w:sz w:val="24"/>
          <w:szCs w:val="24"/>
        </w:rPr>
        <w:t xml:space="preserve"> del </w:t>
      </w:r>
      <w:r w:rsidRPr="00F13334">
        <w:rPr>
          <w:rFonts w:ascii="Arial" w:hAnsi="Arial" w:cs="Arial"/>
          <w:sz w:val="24"/>
          <w:szCs w:val="24"/>
        </w:rPr>
        <w:t>Real Decreto 78/2019, de 22 de febrero, por el que se aprueba el Reglamento que desarrolla la Ley 49/1999, de 20 de diciembre, sobre medidas de control de sustancias químicas susceptibles de desvío para la fabricación de armas químicas</w:t>
      </w:r>
      <w:r>
        <w:rPr>
          <w:rFonts w:ascii="Arial" w:hAnsi="Arial" w:cs="Arial"/>
          <w:sz w:val="24"/>
          <w:szCs w:val="24"/>
        </w:rPr>
        <w:t>:</w:t>
      </w:r>
    </w:p>
    <w:p w:rsidR="00F13334" w:rsidRDefault="00F13334" w:rsidP="000D2AA1">
      <w:pPr>
        <w:tabs>
          <w:tab w:val="left" w:pos="3437"/>
        </w:tabs>
        <w:jc w:val="both"/>
        <w:rPr>
          <w:rFonts w:ascii="Arial" w:hAnsi="Arial" w:cs="Arial"/>
          <w:sz w:val="24"/>
          <w:szCs w:val="24"/>
        </w:rPr>
      </w:pPr>
    </w:p>
    <w:p w:rsidR="00961B4C" w:rsidRDefault="00961B4C" w:rsidP="00961B4C">
      <w:pPr>
        <w:tabs>
          <w:tab w:val="left" w:pos="3437"/>
        </w:tabs>
        <w:jc w:val="both"/>
        <w:rPr>
          <w:rFonts w:ascii="Arial" w:hAnsi="Arial" w:cs="Arial"/>
          <w:i/>
          <w:sz w:val="24"/>
          <w:szCs w:val="24"/>
        </w:rPr>
      </w:pPr>
      <w:r>
        <w:rPr>
          <w:rFonts w:ascii="Arial" w:hAnsi="Arial" w:cs="Arial"/>
          <w:i/>
          <w:sz w:val="24"/>
          <w:szCs w:val="24"/>
        </w:rPr>
        <w:tab/>
      </w:r>
    </w:p>
    <w:p w:rsidR="00961B4C" w:rsidRPr="00961B4C" w:rsidRDefault="00961B4C" w:rsidP="00961B4C">
      <w:pPr>
        <w:tabs>
          <w:tab w:val="left" w:pos="3437"/>
        </w:tabs>
        <w:ind w:left="1021"/>
        <w:jc w:val="both"/>
        <w:rPr>
          <w:rFonts w:ascii="Arial" w:hAnsi="Arial" w:cs="Arial"/>
          <w:i/>
          <w:sz w:val="24"/>
          <w:szCs w:val="24"/>
        </w:rPr>
      </w:pPr>
      <w:r w:rsidRPr="00961B4C">
        <w:rPr>
          <w:rFonts w:ascii="Arial" w:hAnsi="Arial" w:cs="Arial"/>
          <w:i/>
          <w:sz w:val="24"/>
          <w:szCs w:val="24"/>
        </w:rPr>
        <w:t>Disposición final segunda. Desarrollo normativo.</w:t>
      </w:r>
    </w:p>
    <w:p w:rsidR="00961B4C" w:rsidRDefault="00961B4C" w:rsidP="00961B4C">
      <w:pPr>
        <w:tabs>
          <w:tab w:val="left" w:pos="3437"/>
        </w:tabs>
        <w:jc w:val="both"/>
        <w:rPr>
          <w:rFonts w:ascii="Arial" w:hAnsi="Arial" w:cs="Arial"/>
          <w:i/>
          <w:sz w:val="24"/>
          <w:szCs w:val="24"/>
        </w:rPr>
      </w:pPr>
      <w:r>
        <w:rPr>
          <w:rFonts w:ascii="Arial" w:hAnsi="Arial" w:cs="Arial"/>
          <w:i/>
          <w:sz w:val="24"/>
          <w:szCs w:val="24"/>
        </w:rPr>
        <w:tab/>
      </w:r>
    </w:p>
    <w:p w:rsidR="00961B4C" w:rsidRPr="00961B4C" w:rsidRDefault="00961B4C" w:rsidP="00961B4C">
      <w:pPr>
        <w:tabs>
          <w:tab w:val="left" w:pos="3437"/>
        </w:tabs>
        <w:ind w:left="1021"/>
        <w:jc w:val="both"/>
        <w:rPr>
          <w:rFonts w:ascii="Arial" w:hAnsi="Arial" w:cs="Arial"/>
          <w:i/>
          <w:sz w:val="24"/>
          <w:szCs w:val="24"/>
        </w:rPr>
      </w:pPr>
      <w:r w:rsidRPr="00961B4C">
        <w:rPr>
          <w:rFonts w:ascii="Arial" w:hAnsi="Arial" w:cs="Arial"/>
          <w:i/>
          <w:sz w:val="24"/>
          <w:szCs w:val="24"/>
        </w:rPr>
        <w:t>1. Se faculta a los Ministros de Industria, Comercio y Turismo, de Asuntos Exteriores, Unión Europea y Cooperación, de Defensa, de Hacienda, del Interior, y de Sanidad, Consumo y Bienestar Social, en el ámbito de sus respectivas competencias, para dictar las disposiciones necesarias para el desarrollo del presente real decreto.</w:t>
      </w:r>
    </w:p>
    <w:p w:rsidR="00961B4C" w:rsidRDefault="00961B4C" w:rsidP="00961B4C">
      <w:pPr>
        <w:tabs>
          <w:tab w:val="left" w:pos="3437"/>
        </w:tabs>
        <w:jc w:val="both"/>
        <w:rPr>
          <w:rFonts w:ascii="Arial" w:hAnsi="Arial" w:cs="Arial"/>
          <w:i/>
          <w:sz w:val="24"/>
          <w:szCs w:val="24"/>
        </w:rPr>
      </w:pPr>
    </w:p>
    <w:p w:rsidR="00961B4C" w:rsidRPr="00961B4C" w:rsidRDefault="00961B4C" w:rsidP="00961B4C">
      <w:pPr>
        <w:tabs>
          <w:tab w:val="left" w:pos="3437"/>
        </w:tabs>
        <w:ind w:left="1021"/>
        <w:jc w:val="both"/>
        <w:rPr>
          <w:rFonts w:ascii="Arial" w:hAnsi="Arial" w:cs="Arial"/>
          <w:i/>
          <w:sz w:val="24"/>
          <w:szCs w:val="24"/>
        </w:rPr>
      </w:pPr>
      <w:r w:rsidRPr="00961B4C">
        <w:rPr>
          <w:rFonts w:ascii="Arial" w:hAnsi="Arial" w:cs="Arial"/>
          <w:i/>
          <w:sz w:val="24"/>
          <w:szCs w:val="24"/>
        </w:rPr>
        <w:t>2. Se autoriza al Ministro de Industria, Comercio y Turismo para modificar los anexos y apéndices del reglamento que se aprueba, mediante orden ministerial.</w:t>
      </w:r>
    </w:p>
    <w:p w:rsidR="00961B4C" w:rsidRDefault="00961B4C" w:rsidP="00F13334">
      <w:pPr>
        <w:tabs>
          <w:tab w:val="left" w:pos="3437"/>
        </w:tabs>
        <w:rPr>
          <w:rFonts w:ascii="Arial" w:hAnsi="Arial" w:cs="Arial"/>
          <w:sz w:val="24"/>
          <w:szCs w:val="24"/>
        </w:rPr>
      </w:pPr>
    </w:p>
    <w:p w:rsidR="00FD3EDA" w:rsidRDefault="00FD3EDA" w:rsidP="000D2AA1">
      <w:pPr>
        <w:tabs>
          <w:tab w:val="left" w:pos="3437"/>
        </w:tabs>
        <w:jc w:val="both"/>
        <w:rPr>
          <w:rFonts w:ascii="Arial" w:hAnsi="Arial" w:cs="Arial"/>
          <w:sz w:val="24"/>
          <w:szCs w:val="24"/>
        </w:rPr>
      </w:pPr>
      <w:r w:rsidRPr="00FD3EDA">
        <w:rPr>
          <w:rFonts w:ascii="Arial" w:hAnsi="Arial" w:cs="Arial"/>
          <w:sz w:val="24"/>
          <w:szCs w:val="24"/>
        </w:rPr>
        <w:t>El proyecto ha sido tramitado con arreglo a las previsiones de la Ley 39/2015, de 1 de octubre, de Procedimiento Administrativo Común de las Administraciones y de la Ley 50/1997, de 27 de noviembre, del</w:t>
      </w:r>
      <w:r w:rsidR="00712C73">
        <w:rPr>
          <w:rFonts w:ascii="Arial" w:hAnsi="Arial" w:cs="Arial"/>
          <w:sz w:val="24"/>
          <w:szCs w:val="24"/>
        </w:rPr>
        <w:t xml:space="preserve"> Gobierno, por el que se regula</w:t>
      </w:r>
      <w:r w:rsidRPr="00FD3EDA">
        <w:rPr>
          <w:rFonts w:ascii="Arial" w:hAnsi="Arial" w:cs="Arial"/>
          <w:sz w:val="24"/>
          <w:szCs w:val="24"/>
        </w:rPr>
        <w:t>, entre otras cosas, el procedimiento para la elaboración de reglamentos -</w:t>
      </w:r>
      <w:r w:rsidR="00712C73">
        <w:rPr>
          <w:rFonts w:ascii="Arial" w:hAnsi="Arial" w:cs="Arial"/>
          <w:sz w:val="24"/>
          <w:szCs w:val="24"/>
        </w:rPr>
        <w:t xml:space="preserve"> </w:t>
      </w:r>
      <w:r w:rsidRPr="00FD3EDA">
        <w:rPr>
          <w:rFonts w:ascii="Arial" w:hAnsi="Arial" w:cs="Arial"/>
          <w:sz w:val="24"/>
          <w:szCs w:val="24"/>
        </w:rPr>
        <w:t>entre los que se encuentran aquellos que revisten la forma de orden ministerial</w:t>
      </w:r>
      <w:r w:rsidR="00712C73">
        <w:rPr>
          <w:rFonts w:ascii="Arial" w:hAnsi="Arial" w:cs="Arial"/>
          <w:sz w:val="24"/>
          <w:szCs w:val="24"/>
        </w:rPr>
        <w:t xml:space="preserve"> </w:t>
      </w:r>
      <w:r w:rsidRPr="00FD3EDA">
        <w:rPr>
          <w:rFonts w:ascii="Arial" w:hAnsi="Arial" w:cs="Arial"/>
          <w:sz w:val="24"/>
          <w:szCs w:val="24"/>
        </w:rPr>
        <w:t>-.</w:t>
      </w:r>
    </w:p>
    <w:p w:rsidR="00FD3EDA" w:rsidRPr="00FD3EDA" w:rsidRDefault="00FD3EDA" w:rsidP="000D2AA1">
      <w:pPr>
        <w:tabs>
          <w:tab w:val="left" w:pos="3437"/>
        </w:tabs>
        <w:jc w:val="both"/>
        <w:rPr>
          <w:rFonts w:ascii="Arial" w:hAnsi="Arial" w:cs="Arial"/>
          <w:sz w:val="24"/>
          <w:szCs w:val="24"/>
        </w:rPr>
      </w:pPr>
    </w:p>
    <w:p w:rsidR="00FD3EDA" w:rsidRDefault="0023154A" w:rsidP="0023154A">
      <w:pPr>
        <w:tabs>
          <w:tab w:val="left" w:pos="3437"/>
        </w:tabs>
        <w:jc w:val="both"/>
        <w:rPr>
          <w:rFonts w:ascii="Arial" w:hAnsi="Arial" w:cs="Arial"/>
          <w:sz w:val="24"/>
          <w:szCs w:val="24"/>
        </w:rPr>
      </w:pPr>
      <w:r w:rsidRPr="0023154A">
        <w:rPr>
          <w:rFonts w:ascii="Arial" w:hAnsi="Arial" w:cs="Arial"/>
          <w:sz w:val="24"/>
          <w:szCs w:val="24"/>
        </w:rPr>
        <w:t>Se ha realizado el trámite de consulta pública previa conforme a lo previsto en el</w:t>
      </w:r>
      <w:r>
        <w:rPr>
          <w:rFonts w:ascii="Arial" w:hAnsi="Arial" w:cs="Arial"/>
          <w:sz w:val="24"/>
          <w:szCs w:val="24"/>
        </w:rPr>
        <w:t xml:space="preserve"> artículo</w:t>
      </w:r>
      <w:r w:rsidRPr="0023154A">
        <w:rPr>
          <w:rFonts w:ascii="Arial" w:hAnsi="Arial" w:cs="Arial"/>
          <w:sz w:val="24"/>
          <w:szCs w:val="24"/>
        </w:rPr>
        <w:t xml:space="preserve"> 26.2 de la Ley 50/1997, de 27 de noviembre, del Gobierno</w:t>
      </w:r>
      <w:r>
        <w:rPr>
          <w:rFonts w:ascii="Arial" w:hAnsi="Arial" w:cs="Arial"/>
          <w:sz w:val="24"/>
          <w:szCs w:val="24"/>
        </w:rPr>
        <w:t xml:space="preserve">, publicándose en la web del </w:t>
      </w:r>
      <w:r w:rsidRPr="0023154A">
        <w:rPr>
          <w:rFonts w:ascii="Arial" w:hAnsi="Arial" w:cs="Arial"/>
          <w:sz w:val="24"/>
          <w:szCs w:val="24"/>
        </w:rPr>
        <w:t>Ministerio de Industria y Turismo</w:t>
      </w:r>
      <w:r>
        <w:rPr>
          <w:rFonts w:ascii="Arial" w:hAnsi="Arial" w:cs="Arial"/>
          <w:sz w:val="24"/>
          <w:szCs w:val="24"/>
        </w:rPr>
        <w:t>. Asimismo, s</w:t>
      </w:r>
      <w:r w:rsidRPr="0023154A">
        <w:rPr>
          <w:rFonts w:ascii="Arial" w:hAnsi="Arial" w:cs="Arial"/>
          <w:sz w:val="24"/>
          <w:szCs w:val="24"/>
        </w:rPr>
        <w:t>e ha realizado el trámite de información y audiencia pública, conforme a lo previsto en el artículo 26.6 de la Ley 50/1997, de 27 de noviembre, del Gobierno, mediante la publicación en la página web del Ministerio de Industria y Turismo.</w:t>
      </w:r>
      <w:r w:rsidRPr="0023154A">
        <w:rPr>
          <w:rFonts w:ascii="Arial" w:hAnsi="Arial" w:cs="Arial"/>
          <w:sz w:val="24"/>
          <w:szCs w:val="24"/>
        </w:rPr>
        <w:cr/>
      </w:r>
      <w:r w:rsidR="00FD3EDA">
        <w:rPr>
          <w:rFonts w:ascii="Arial" w:hAnsi="Arial" w:cs="Arial"/>
          <w:sz w:val="24"/>
          <w:szCs w:val="24"/>
        </w:rPr>
        <w:t xml:space="preserve"> </w:t>
      </w:r>
    </w:p>
    <w:p w:rsidR="00FD3EDA" w:rsidRDefault="00FD3EDA" w:rsidP="00FD3EDA">
      <w:pPr>
        <w:tabs>
          <w:tab w:val="left" w:pos="3437"/>
        </w:tabs>
        <w:rPr>
          <w:rFonts w:ascii="Arial" w:hAnsi="Arial" w:cs="Arial"/>
          <w:sz w:val="24"/>
          <w:szCs w:val="24"/>
        </w:rPr>
      </w:pPr>
      <w:r w:rsidRPr="00FD3EDA">
        <w:rPr>
          <w:rFonts w:ascii="Arial" w:hAnsi="Arial" w:cs="Arial"/>
          <w:sz w:val="24"/>
          <w:szCs w:val="24"/>
        </w:rPr>
        <w:t xml:space="preserve">Durante la tramitación de esta orden ministerial, y de acuerdo con el artículo 26.5 de la Ley 50/1997, de 27 de noviembre, del Gobierno, se ha recabado informe de la Secretaría General Técnica del Ministerio de </w:t>
      </w:r>
      <w:r>
        <w:rPr>
          <w:rFonts w:ascii="Arial" w:hAnsi="Arial" w:cs="Arial"/>
          <w:sz w:val="24"/>
          <w:szCs w:val="24"/>
        </w:rPr>
        <w:t>Industria y Turismo.</w:t>
      </w:r>
    </w:p>
    <w:p w:rsidR="00FD3EDA" w:rsidRPr="00FD3EDA" w:rsidRDefault="00FD3EDA" w:rsidP="00FD3EDA">
      <w:pPr>
        <w:tabs>
          <w:tab w:val="left" w:pos="3437"/>
        </w:tabs>
        <w:rPr>
          <w:rFonts w:ascii="Arial" w:hAnsi="Arial" w:cs="Arial"/>
          <w:sz w:val="24"/>
          <w:szCs w:val="24"/>
        </w:rPr>
      </w:pPr>
    </w:p>
    <w:p w:rsidR="00133C28" w:rsidRDefault="00FD3EDA" w:rsidP="00FD3EDA">
      <w:pPr>
        <w:tabs>
          <w:tab w:val="left" w:pos="3437"/>
        </w:tabs>
        <w:rPr>
          <w:rFonts w:ascii="Arial" w:hAnsi="Arial" w:cs="Arial"/>
          <w:sz w:val="24"/>
          <w:szCs w:val="24"/>
        </w:rPr>
      </w:pPr>
      <w:r w:rsidRPr="00FD3EDA">
        <w:rPr>
          <w:rFonts w:ascii="Arial" w:hAnsi="Arial" w:cs="Arial"/>
          <w:sz w:val="24"/>
          <w:szCs w:val="24"/>
        </w:rPr>
        <w:t xml:space="preserve">Asimismo, se ha recabado </w:t>
      </w:r>
      <w:r w:rsidRPr="00D43A0D">
        <w:rPr>
          <w:rFonts w:ascii="Arial" w:hAnsi="Arial" w:cs="Arial"/>
          <w:sz w:val="24"/>
          <w:szCs w:val="24"/>
        </w:rPr>
        <w:t xml:space="preserve">dictamen del Consejo de Estado </w:t>
      </w:r>
      <w:r w:rsidRPr="00FD3EDA">
        <w:rPr>
          <w:rFonts w:ascii="Arial" w:hAnsi="Arial" w:cs="Arial"/>
          <w:sz w:val="24"/>
          <w:szCs w:val="24"/>
        </w:rPr>
        <w:t xml:space="preserve">conforme al artículo 22.2 y </w:t>
      </w:r>
      <w:r w:rsidR="007714F5">
        <w:rPr>
          <w:rFonts w:ascii="Arial" w:hAnsi="Arial" w:cs="Arial"/>
          <w:sz w:val="24"/>
          <w:szCs w:val="24"/>
        </w:rPr>
        <w:t>22.</w:t>
      </w:r>
      <w:r w:rsidRPr="00FD3EDA">
        <w:rPr>
          <w:rFonts w:ascii="Arial" w:hAnsi="Arial" w:cs="Arial"/>
          <w:sz w:val="24"/>
          <w:szCs w:val="24"/>
        </w:rPr>
        <w:t xml:space="preserve">3 de la Ley Orgánica 3/1980, de 22 </w:t>
      </w:r>
      <w:r w:rsidR="00133C28">
        <w:rPr>
          <w:rFonts w:ascii="Arial" w:hAnsi="Arial" w:cs="Arial"/>
          <w:sz w:val="24"/>
          <w:szCs w:val="24"/>
        </w:rPr>
        <w:t>de abril, del Consejo de Estado</w:t>
      </w:r>
      <w:r w:rsidR="007714F5">
        <w:rPr>
          <w:rFonts w:ascii="Arial" w:hAnsi="Arial" w:cs="Arial"/>
          <w:sz w:val="24"/>
          <w:szCs w:val="24"/>
        </w:rPr>
        <w:t>:</w:t>
      </w:r>
    </w:p>
    <w:p w:rsidR="00133C28" w:rsidRDefault="00133C28" w:rsidP="00133C28">
      <w:pPr>
        <w:tabs>
          <w:tab w:val="left" w:pos="3437"/>
        </w:tabs>
        <w:rPr>
          <w:rFonts w:ascii="Arial" w:hAnsi="Arial" w:cs="Arial"/>
        </w:rPr>
      </w:pPr>
    </w:p>
    <w:p w:rsidR="00133C28" w:rsidRDefault="00133C28" w:rsidP="00FD3EDA">
      <w:pPr>
        <w:tabs>
          <w:tab w:val="left" w:pos="3437"/>
        </w:tabs>
        <w:rPr>
          <w:rFonts w:ascii="Arial" w:hAnsi="Arial" w:cs="Arial"/>
          <w:sz w:val="24"/>
          <w:szCs w:val="24"/>
        </w:rPr>
      </w:pPr>
    </w:p>
    <w:p w:rsidR="00133C28" w:rsidRPr="002373C1" w:rsidRDefault="007714F5" w:rsidP="00133C28">
      <w:pPr>
        <w:tabs>
          <w:tab w:val="left" w:pos="3437"/>
        </w:tabs>
        <w:ind w:left="1021"/>
        <w:rPr>
          <w:rFonts w:ascii="Arial" w:hAnsi="Arial" w:cs="Arial"/>
          <w:i/>
          <w:sz w:val="24"/>
          <w:szCs w:val="24"/>
        </w:rPr>
      </w:pPr>
      <w:r w:rsidRPr="007714F5">
        <w:rPr>
          <w:rFonts w:ascii="Arial" w:hAnsi="Arial" w:cs="Arial"/>
          <w:i/>
          <w:sz w:val="24"/>
          <w:szCs w:val="24"/>
        </w:rPr>
        <w:t>22.2</w:t>
      </w:r>
      <w:r w:rsidR="00133C28" w:rsidRPr="007714F5">
        <w:rPr>
          <w:rFonts w:ascii="Arial" w:hAnsi="Arial" w:cs="Arial"/>
          <w:i/>
          <w:sz w:val="24"/>
          <w:szCs w:val="24"/>
        </w:rPr>
        <w:t>. Disposiciones reglamentarias que se dicten en ejecución, cumplimiento o desa</w:t>
      </w:r>
      <w:r w:rsidR="00133C28" w:rsidRPr="002373C1">
        <w:rPr>
          <w:rFonts w:ascii="Arial" w:hAnsi="Arial" w:cs="Arial"/>
          <w:i/>
          <w:sz w:val="24"/>
          <w:szCs w:val="24"/>
        </w:rPr>
        <w:t>rrollo de tratados, convenios o acuerdos internacionales y del derecho comunitario europeo.</w:t>
      </w:r>
    </w:p>
    <w:p w:rsidR="00133C28" w:rsidRPr="002373C1" w:rsidRDefault="00133C28" w:rsidP="00133C28">
      <w:pPr>
        <w:tabs>
          <w:tab w:val="left" w:pos="3437"/>
        </w:tabs>
        <w:ind w:left="1021"/>
        <w:rPr>
          <w:rFonts w:ascii="Arial" w:hAnsi="Arial" w:cs="Arial"/>
          <w:i/>
          <w:sz w:val="24"/>
          <w:szCs w:val="24"/>
        </w:rPr>
      </w:pPr>
    </w:p>
    <w:p w:rsidR="00133C28" w:rsidRPr="002373C1" w:rsidRDefault="007714F5" w:rsidP="00133C28">
      <w:pPr>
        <w:tabs>
          <w:tab w:val="left" w:pos="3437"/>
        </w:tabs>
        <w:ind w:left="1021"/>
        <w:rPr>
          <w:rFonts w:ascii="Arial" w:hAnsi="Arial" w:cs="Arial"/>
          <w:i/>
          <w:sz w:val="24"/>
          <w:szCs w:val="24"/>
        </w:rPr>
      </w:pPr>
      <w:r w:rsidRPr="002373C1">
        <w:rPr>
          <w:rFonts w:ascii="Arial" w:hAnsi="Arial" w:cs="Arial"/>
          <w:i/>
          <w:sz w:val="24"/>
          <w:szCs w:val="24"/>
        </w:rPr>
        <w:t>22.3</w:t>
      </w:r>
      <w:r w:rsidR="00133C28" w:rsidRPr="002373C1">
        <w:rPr>
          <w:rFonts w:ascii="Arial" w:hAnsi="Arial" w:cs="Arial"/>
          <w:i/>
          <w:sz w:val="24"/>
          <w:szCs w:val="24"/>
        </w:rPr>
        <w:t>. Reglamentos o disposiciones de carácter general que se dicten en ejecución de las Leyes, así como sus modificaciones.</w:t>
      </w:r>
    </w:p>
    <w:p w:rsidR="007714F5" w:rsidRDefault="007714F5" w:rsidP="00F410A6">
      <w:pPr>
        <w:rPr>
          <w:rFonts w:ascii="Arial" w:hAnsi="Arial" w:cs="Arial"/>
          <w:sz w:val="24"/>
          <w:szCs w:val="24"/>
        </w:rPr>
      </w:pPr>
    </w:p>
    <w:p w:rsidR="007714F5" w:rsidRDefault="007714F5" w:rsidP="00F410A6">
      <w:pPr>
        <w:rPr>
          <w:rFonts w:ascii="Arial" w:hAnsi="Arial" w:cs="Arial"/>
          <w:sz w:val="24"/>
          <w:szCs w:val="24"/>
        </w:rPr>
      </w:pPr>
    </w:p>
    <w:p w:rsidR="00F410A6" w:rsidRPr="008D25EE" w:rsidRDefault="00221536" w:rsidP="00F410A6">
      <w:pPr>
        <w:pStyle w:val="Ttulo1"/>
        <w:numPr>
          <w:ilvl w:val="0"/>
          <w:numId w:val="25"/>
        </w:numPr>
        <w:rPr>
          <w:rStyle w:val="Ttulodellibro"/>
          <w:rFonts w:cs="Arial"/>
          <w:i w:val="0"/>
          <w:sz w:val="22"/>
          <w:szCs w:val="22"/>
          <w:lang w:val="es-ES"/>
        </w:rPr>
      </w:pPr>
      <w:r>
        <w:rPr>
          <w:rStyle w:val="Ttulodellibro"/>
          <w:rFonts w:cs="Arial"/>
          <w:sz w:val="22"/>
          <w:szCs w:val="22"/>
          <w:lang w:val="es-ES"/>
        </w:rPr>
        <w:t>Derogación de normas</w:t>
      </w:r>
      <w:r w:rsidR="00F410A6" w:rsidRPr="008D25EE">
        <w:rPr>
          <w:rStyle w:val="Ttulodellibro"/>
          <w:rFonts w:cs="Arial"/>
          <w:sz w:val="22"/>
          <w:szCs w:val="22"/>
          <w:lang w:val="es-ES"/>
        </w:rPr>
        <w:t xml:space="preserve"> </w:t>
      </w:r>
    </w:p>
    <w:p w:rsidR="00F410A6" w:rsidRDefault="00F410A6" w:rsidP="00F410A6">
      <w:pPr>
        <w:pStyle w:val="Textonotapie"/>
        <w:tabs>
          <w:tab w:val="left" w:pos="1021"/>
          <w:tab w:val="left" w:pos="8080"/>
        </w:tabs>
        <w:rPr>
          <w:rFonts w:ascii="Arial" w:hAnsi="Arial" w:cs="Arial"/>
          <w:sz w:val="24"/>
          <w:szCs w:val="24"/>
        </w:rPr>
      </w:pPr>
    </w:p>
    <w:p w:rsidR="00F410A6" w:rsidRDefault="00F410A6" w:rsidP="00F410A6">
      <w:pPr>
        <w:pStyle w:val="Textonotapie"/>
        <w:tabs>
          <w:tab w:val="left" w:pos="1021"/>
          <w:tab w:val="left" w:pos="8080"/>
        </w:tabs>
        <w:rPr>
          <w:rFonts w:ascii="Arial" w:hAnsi="Arial" w:cs="Arial"/>
          <w:sz w:val="24"/>
          <w:szCs w:val="24"/>
        </w:rPr>
      </w:pPr>
    </w:p>
    <w:p w:rsidR="00221536" w:rsidRDefault="00221536" w:rsidP="00F410A6">
      <w:pPr>
        <w:tabs>
          <w:tab w:val="left" w:pos="1723"/>
        </w:tabs>
        <w:rPr>
          <w:rFonts w:ascii="Arial" w:hAnsi="Arial" w:cs="Arial"/>
          <w:sz w:val="24"/>
          <w:szCs w:val="24"/>
        </w:rPr>
      </w:pPr>
      <w:r>
        <w:rPr>
          <w:rFonts w:ascii="Arial" w:hAnsi="Arial" w:cs="Arial"/>
          <w:sz w:val="24"/>
          <w:szCs w:val="24"/>
        </w:rPr>
        <w:t>Al tratarse de un proyecto de orden ministerial de modificación, éste no deroga ninguna norma del ordenamiento jurídico, ni expresa ni tácitamente.</w:t>
      </w:r>
    </w:p>
    <w:p w:rsidR="005635AE" w:rsidRDefault="005635AE" w:rsidP="00F410A6">
      <w:pPr>
        <w:tabs>
          <w:tab w:val="left" w:pos="1723"/>
        </w:tabs>
        <w:rPr>
          <w:rFonts w:ascii="Arial" w:hAnsi="Arial" w:cs="Arial"/>
          <w:sz w:val="24"/>
          <w:szCs w:val="24"/>
        </w:rPr>
      </w:pPr>
    </w:p>
    <w:p w:rsidR="005168B0" w:rsidRDefault="005168B0" w:rsidP="00F410A6">
      <w:pPr>
        <w:tabs>
          <w:tab w:val="left" w:pos="1723"/>
        </w:tabs>
        <w:rPr>
          <w:rFonts w:ascii="Arial" w:hAnsi="Arial" w:cs="Arial"/>
          <w:sz w:val="24"/>
          <w:szCs w:val="24"/>
        </w:rPr>
      </w:pPr>
    </w:p>
    <w:p w:rsidR="00221536" w:rsidRPr="008D25EE" w:rsidRDefault="00221536" w:rsidP="00221536">
      <w:pPr>
        <w:pStyle w:val="Ttulo1"/>
        <w:numPr>
          <w:ilvl w:val="0"/>
          <w:numId w:val="25"/>
        </w:numPr>
        <w:rPr>
          <w:rStyle w:val="Ttulodellibro"/>
          <w:rFonts w:cs="Arial"/>
          <w:i w:val="0"/>
          <w:sz w:val="22"/>
          <w:szCs w:val="22"/>
          <w:lang w:val="es-ES"/>
        </w:rPr>
      </w:pPr>
      <w:r>
        <w:rPr>
          <w:rStyle w:val="Ttulodellibro"/>
          <w:rFonts w:cs="Arial"/>
          <w:sz w:val="22"/>
          <w:szCs w:val="22"/>
          <w:lang w:val="es-ES"/>
        </w:rPr>
        <w:t>Vigencia de la norma y entrada en vigor</w:t>
      </w:r>
      <w:r w:rsidRPr="008D25EE">
        <w:rPr>
          <w:rStyle w:val="Ttulodellibro"/>
          <w:rFonts w:cs="Arial"/>
          <w:sz w:val="22"/>
          <w:szCs w:val="22"/>
          <w:lang w:val="es-ES"/>
        </w:rPr>
        <w:t xml:space="preserve"> </w:t>
      </w:r>
    </w:p>
    <w:p w:rsidR="00221536" w:rsidRDefault="00221536" w:rsidP="00221536">
      <w:pPr>
        <w:pStyle w:val="Textonotapie"/>
        <w:tabs>
          <w:tab w:val="left" w:pos="1021"/>
          <w:tab w:val="left" w:pos="8080"/>
        </w:tabs>
        <w:rPr>
          <w:rFonts w:ascii="Arial" w:hAnsi="Arial" w:cs="Arial"/>
          <w:sz w:val="24"/>
          <w:szCs w:val="24"/>
        </w:rPr>
      </w:pPr>
    </w:p>
    <w:p w:rsidR="00221536" w:rsidRDefault="00221536" w:rsidP="00221536">
      <w:pPr>
        <w:tabs>
          <w:tab w:val="left" w:pos="1723"/>
        </w:tabs>
        <w:rPr>
          <w:rFonts w:ascii="Arial" w:hAnsi="Arial" w:cs="Arial"/>
          <w:sz w:val="24"/>
          <w:szCs w:val="24"/>
        </w:rPr>
      </w:pPr>
      <w:r w:rsidRPr="00221536">
        <w:rPr>
          <w:rFonts w:ascii="Arial" w:hAnsi="Arial" w:cs="Arial"/>
          <w:sz w:val="24"/>
          <w:szCs w:val="24"/>
        </w:rPr>
        <w:t>De acuerdo con lo previsto en el artículo 23 de la Ley 50/1997, de 27 de noviembre, del Gobierno,</w:t>
      </w:r>
      <w:r>
        <w:rPr>
          <w:rFonts w:ascii="Arial" w:hAnsi="Arial" w:cs="Arial"/>
          <w:sz w:val="24"/>
          <w:szCs w:val="24"/>
        </w:rPr>
        <w:t xml:space="preserve"> </w:t>
      </w:r>
      <w:r w:rsidR="00AA083B">
        <w:rPr>
          <w:rFonts w:ascii="Arial" w:hAnsi="Arial" w:cs="Arial"/>
          <w:sz w:val="24"/>
          <w:szCs w:val="24"/>
        </w:rPr>
        <w:t>su entrada en vigor será a</w:t>
      </w:r>
      <w:r w:rsidRPr="00221536">
        <w:rPr>
          <w:rFonts w:ascii="Arial" w:hAnsi="Arial" w:cs="Arial"/>
          <w:sz w:val="24"/>
          <w:szCs w:val="24"/>
        </w:rPr>
        <w:t xml:space="preserve"> los veinte días de su publicación en el «Boletín Oficial del Estado»</w:t>
      </w:r>
      <w:r>
        <w:rPr>
          <w:rFonts w:ascii="Arial" w:hAnsi="Arial" w:cs="Arial"/>
          <w:sz w:val="24"/>
          <w:szCs w:val="24"/>
        </w:rPr>
        <w:t xml:space="preserve"> al no concurrir</w:t>
      </w:r>
      <w:r w:rsidRPr="00221536">
        <w:rPr>
          <w:rFonts w:ascii="Arial" w:hAnsi="Arial" w:cs="Arial"/>
          <w:sz w:val="24"/>
          <w:szCs w:val="24"/>
        </w:rPr>
        <w:t xml:space="preserve"> los supuestos previstos en dicho artículo que justifican una vigencia</w:t>
      </w:r>
      <w:r>
        <w:rPr>
          <w:rFonts w:ascii="Arial" w:hAnsi="Arial" w:cs="Arial"/>
          <w:sz w:val="24"/>
          <w:szCs w:val="24"/>
        </w:rPr>
        <w:t xml:space="preserve"> demorada, esto es,</w:t>
      </w:r>
      <w:r w:rsidRPr="00221536">
        <w:rPr>
          <w:rFonts w:ascii="Arial" w:hAnsi="Arial" w:cs="Arial"/>
          <w:sz w:val="24"/>
          <w:szCs w:val="24"/>
        </w:rPr>
        <w:t xml:space="preserve"> la norma no impone nuevas obligaciones a las personas físicas o jurídicas</w:t>
      </w:r>
      <w:r>
        <w:rPr>
          <w:rFonts w:ascii="Arial" w:hAnsi="Arial" w:cs="Arial"/>
          <w:sz w:val="24"/>
          <w:szCs w:val="24"/>
        </w:rPr>
        <w:t xml:space="preserve"> </w:t>
      </w:r>
      <w:r w:rsidRPr="00221536">
        <w:rPr>
          <w:rFonts w:ascii="Arial" w:hAnsi="Arial" w:cs="Arial"/>
          <w:sz w:val="24"/>
          <w:szCs w:val="24"/>
        </w:rPr>
        <w:t>que desempeñen una actividad económica o profesional como consecuencia del ejercicio de</w:t>
      </w:r>
      <w:r>
        <w:rPr>
          <w:rFonts w:ascii="Arial" w:hAnsi="Arial" w:cs="Arial"/>
          <w:sz w:val="24"/>
          <w:szCs w:val="24"/>
        </w:rPr>
        <w:t xml:space="preserve"> la misma</w:t>
      </w:r>
      <w:r w:rsidRPr="00221536">
        <w:rPr>
          <w:rFonts w:ascii="Arial" w:hAnsi="Arial" w:cs="Arial"/>
          <w:sz w:val="24"/>
          <w:szCs w:val="24"/>
        </w:rPr>
        <w:t>.</w:t>
      </w:r>
    </w:p>
    <w:p w:rsidR="00221536" w:rsidRDefault="00221536" w:rsidP="00221536">
      <w:pPr>
        <w:tabs>
          <w:tab w:val="left" w:pos="1723"/>
        </w:tabs>
        <w:rPr>
          <w:rFonts w:ascii="Arial" w:hAnsi="Arial" w:cs="Arial"/>
          <w:sz w:val="24"/>
          <w:szCs w:val="24"/>
        </w:rPr>
      </w:pPr>
    </w:p>
    <w:p w:rsidR="00221536" w:rsidRDefault="00221536" w:rsidP="00221536">
      <w:pPr>
        <w:tabs>
          <w:tab w:val="left" w:pos="1723"/>
        </w:tabs>
        <w:rPr>
          <w:rFonts w:ascii="Arial" w:hAnsi="Arial" w:cs="Arial"/>
          <w:sz w:val="24"/>
          <w:szCs w:val="24"/>
        </w:rPr>
      </w:pPr>
      <w:r>
        <w:rPr>
          <w:rFonts w:ascii="Arial" w:hAnsi="Arial" w:cs="Arial"/>
          <w:sz w:val="24"/>
          <w:szCs w:val="24"/>
        </w:rPr>
        <w:lastRenderedPageBreak/>
        <w:t>Por otro lado, la vigencia de la norma será indefinida.</w:t>
      </w:r>
    </w:p>
    <w:p w:rsidR="002373C1" w:rsidRDefault="002373C1" w:rsidP="00221536">
      <w:pPr>
        <w:tabs>
          <w:tab w:val="left" w:pos="1723"/>
        </w:tabs>
        <w:rPr>
          <w:rFonts w:ascii="Arial" w:hAnsi="Arial" w:cs="Arial"/>
          <w:sz w:val="24"/>
          <w:szCs w:val="24"/>
        </w:rPr>
      </w:pPr>
    </w:p>
    <w:p w:rsidR="00221536" w:rsidRDefault="00221536" w:rsidP="00F410A6">
      <w:pPr>
        <w:tabs>
          <w:tab w:val="left" w:pos="1723"/>
        </w:tabs>
        <w:rPr>
          <w:rFonts w:ascii="Arial" w:hAnsi="Arial" w:cs="Arial"/>
          <w:sz w:val="24"/>
          <w:szCs w:val="24"/>
        </w:rPr>
      </w:pPr>
    </w:p>
    <w:p w:rsidR="002373C1" w:rsidRDefault="002373C1" w:rsidP="00F410A6">
      <w:pPr>
        <w:tabs>
          <w:tab w:val="left" w:pos="1723"/>
        </w:tabs>
        <w:rPr>
          <w:rFonts w:ascii="Arial" w:hAnsi="Arial" w:cs="Arial"/>
          <w:sz w:val="24"/>
          <w:szCs w:val="24"/>
        </w:rPr>
      </w:pPr>
    </w:p>
    <w:p w:rsidR="00221536" w:rsidRDefault="00221536" w:rsidP="00221536">
      <w:pPr>
        <w:pStyle w:val="Ttulo1"/>
        <w:ind w:left="360"/>
        <w:rPr>
          <w:rFonts w:cs="Arial"/>
          <w:szCs w:val="24"/>
          <w:lang w:val="es-ES"/>
        </w:rPr>
      </w:pPr>
      <w:r>
        <w:rPr>
          <w:rFonts w:cs="Arial"/>
          <w:szCs w:val="24"/>
          <w:lang w:val="es-ES"/>
        </w:rPr>
        <w:t>IV</w:t>
      </w:r>
      <w:r w:rsidRPr="008D25EE">
        <w:rPr>
          <w:rFonts w:cs="Arial"/>
          <w:szCs w:val="24"/>
          <w:lang w:val="es-ES"/>
        </w:rPr>
        <w:t xml:space="preserve">. </w:t>
      </w:r>
      <w:r>
        <w:rPr>
          <w:rFonts w:cs="Arial"/>
          <w:szCs w:val="24"/>
          <w:lang w:val="es-ES"/>
        </w:rPr>
        <w:t>ANÁLISIS DE IMPACTOS</w:t>
      </w:r>
    </w:p>
    <w:p w:rsidR="00221536" w:rsidRPr="007A7D70" w:rsidRDefault="00221536" w:rsidP="00221536">
      <w:pPr>
        <w:rPr>
          <w:lang w:val="es-ES"/>
        </w:rPr>
      </w:pPr>
    </w:p>
    <w:p w:rsidR="00221536" w:rsidRPr="007A7D70" w:rsidRDefault="00221536" w:rsidP="00221536">
      <w:pPr>
        <w:rPr>
          <w:lang w:val="es-ES"/>
        </w:rPr>
      </w:pPr>
    </w:p>
    <w:p w:rsidR="00221536" w:rsidRPr="008D25EE" w:rsidRDefault="00221536" w:rsidP="00221536">
      <w:pPr>
        <w:pStyle w:val="Ttulo1"/>
        <w:ind w:left="360"/>
        <w:rPr>
          <w:rStyle w:val="Ttulodellibro"/>
          <w:rFonts w:cs="Arial"/>
          <w:i w:val="0"/>
          <w:sz w:val="22"/>
          <w:szCs w:val="22"/>
          <w:lang w:val="es-ES"/>
        </w:rPr>
      </w:pPr>
      <w:r>
        <w:rPr>
          <w:rStyle w:val="Ttulodellibro"/>
          <w:rFonts w:cs="Arial"/>
          <w:sz w:val="22"/>
          <w:szCs w:val="22"/>
          <w:lang w:val="es-ES"/>
        </w:rPr>
        <w:t>1. Impacto económico</w:t>
      </w:r>
      <w:r w:rsidRPr="008D25EE">
        <w:rPr>
          <w:rStyle w:val="Ttulodellibro"/>
          <w:rFonts w:cs="Arial"/>
          <w:sz w:val="22"/>
          <w:szCs w:val="22"/>
          <w:lang w:val="es-ES"/>
        </w:rPr>
        <w:t xml:space="preserve"> </w:t>
      </w:r>
    </w:p>
    <w:p w:rsidR="00221536" w:rsidRDefault="00221536" w:rsidP="00221536">
      <w:pPr>
        <w:pStyle w:val="Textonotapie"/>
        <w:tabs>
          <w:tab w:val="left" w:pos="1021"/>
          <w:tab w:val="left" w:pos="8080"/>
        </w:tabs>
        <w:rPr>
          <w:rFonts w:ascii="Arial" w:hAnsi="Arial" w:cs="Arial"/>
          <w:sz w:val="24"/>
          <w:szCs w:val="24"/>
        </w:rPr>
      </w:pPr>
    </w:p>
    <w:p w:rsidR="00221536" w:rsidRDefault="00221536" w:rsidP="00221536">
      <w:pPr>
        <w:tabs>
          <w:tab w:val="left" w:pos="1723"/>
        </w:tabs>
        <w:rPr>
          <w:rFonts w:ascii="Arial" w:hAnsi="Arial" w:cs="Arial"/>
          <w:sz w:val="24"/>
          <w:szCs w:val="24"/>
        </w:rPr>
      </w:pPr>
      <w:r>
        <w:rPr>
          <w:rFonts w:ascii="Arial" w:hAnsi="Arial" w:cs="Arial"/>
          <w:sz w:val="24"/>
          <w:szCs w:val="24"/>
        </w:rPr>
        <w:t>El proyecto que se postula sólo contiene:</w:t>
      </w:r>
    </w:p>
    <w:p w:rsidR="005635AE" w:rsidRDefault="005635AE" w:rsidP="00221536">
      <w:pPr>
        <w:tabs>
          <w:tab w:val="left" w:pos="1723"/>
        </w:tabs>
        <w:rPr>
          <w:rFonts w:ascii="Arial" w:hAnsi="Arial" w:cs="Arial"/>
          <w:sz w:val="24"/>
          <w:szCs w:val="24"/>
        </w:rPr>
      </w:pPr>
    </w:p>
    <w:p w:rsidR="00221536" w:rsidRDefault="005635AE" w:rsidP="00221536">
      <w:pPr>
        <w:pStyle w:val="Prrafodelista"/>
        <w:numPr>
          <w:ilvl w:val="1"/>
          <w:numId w:val="22"/>
        </w:numPr>
        <w:tabs>
          <w:tab w:val="left" w:pos="1723"/>
        </w:tabs>
        <w:rPr>
          <w:rFonts w:ascii="Arial" w:hAnsi="Arial" w:cs="Arial"/>
        </w:rPr>
      </w:pPr>
      <w:r>
        <w:rPr>
          <w:rFonts w:ascii="Arial" w:hAnsi="Arial" w:cs="Arial"/>
        </w:rPr>
        <w:t>U</w:t>
      </w:r>
      <w:r w:rsidR="00221536">
        <w:rPr>
          <w:rFonts w:ascii="Arial" w:hAnsi="Arial" w:cs="Arial"/>
        </w:rPr>
        <w:t>na ampliación de las sustancias químicas de la Lista 1, dando cumplimiento a las previsiones de la Convención actualmente en vigor</w:t>
      </w:r>
      <w:r>
        <w:rPr>
          <w:rFonts w:ascii="Arial" w:hAnsi="Arial" w:cs="Arial"/>
        </w:rPr>
        <w:t>; y</w:t>
      </w:r>
    </w:p>
    <w:p w:rsidR="005635AE" w:rsidRDefault="005635AE" w:rsidP="005635AE">
      <w:pPr>
        <w:pStyle w:val="Prrafodelista"/>
        <w:tabs>
          <w:tab w:val="left" w:pos="1723"/>
        </w:tabs>
        <w:ind w:left="1437"/>
        <w:rPr>
          <w:rFonts w:ascii="Arial" w:hAnsi="Arial" w:cs="Arial"/>
        </w:rPr>
      </w:pPr>
    </w:p>
    <w:p w:rsidR="000D2AA1" w:rsidRDefault="000D2AA1" w:rsidP="00221536">
      <w:pPr>
        <w:pStyle w:val="Prrafodelista"/>
        <w:numPr>
          <w:ilvl w:val="1"/>
          <w:numId w:val="22"/>
        </w:numPr>
        <w:tabs>
          <w:tab w:val="left" w:pos="1723"/>
        </w:tabs>
        <w:rPr>
          <w:rFonts w:ascii="Arial" w:hAnsi="Arial" w:cs="Arial"/>
        </w:rPr>
      </w:pPr>
      <w:r>
        <w:rPr>
          <w:rFonts w:ascii="Arial" w:hAnsi="Arial" w:cs="Arial"/>
        </w:rPr>
        <w:t>Modificaciones en los formularios, en su amplia mayoría leves, orientadas únicamente a corregir ambigüedades técnicas</w:t>
      </w:r>
      <w:r w:rsidR="005635AE">
        <w:rPr>
          <w:rFonts w:ascii="Arial" w:hAnsi="Arial" w:cs="Arial"/>
        </w:rPr>
        <w:t xml:space="preserve"> y reforzar el correcto cumplimiento de obligaciones </w:t>
      </w:r>
      <w:r>
        <w:rPr>
          <w:rFonts w:ascii="Arial" w:hAnsi="Arial" w:cs="Arial"/>
        </w:rPr>
        <w:t>por los operadores sujetos a las medidas de control del reglamento.</w:t>
      </w:r>
    </w:p>
    <w:p w:rsidR="000D2AA1" w:rsidRDefault="000D2AA1" w:rsidP="000D2AA1">
      <w:pPr>
        <w:tabs>
          <w:tab w:val="left" w:pos="1723"/>
        </w:tabs>
        <w:rPr>
          <w:rFonts w:ascii="Arial" w:hAnsi="Arial" w:cs="Arial"/>
        </w:rPr>
      </w:pPr>
    </w:p>
    <w:p w:rsidR="00221536" w:rsidRDefault="000D2AA1" w:rsidP="005635AE">
      <w:pPr>
        <w:tabs>
          <w:tab w:val="left" w:pos="1723"/>
        </w:tabs>
        <w:jc w:val="both"/>
        <w:rPr>
          <w:rFonts w:ascii="Arial" w:hAnsi="Arial" w:cs="Arial"/>
          <w:sz w:val="24"/>
          <w:szCs w:val="24"/>
        </w:rPr>
      </w:pPr>
      <w:r w:rsidRPr="000D2AA1">
        <w:rPr>
          <w:rFonts w:ascii="Arial" w:hAnsi="Arial" w:cs="Arial"/>
          <w:sz w:val="24"/>
          <w:szCs w:val="24"/>
        </w:rPr>
        <w:t>Es por ello,</w:t>
      </w:r>
      <w:r>
        <w:rPr>
          <w:rFonts w:ascii="Arial" w:hAnsi="Arial" w:cs="Arial"/>
          <w:sz w:val="24"/>
          <w:szCs w:val="24"/>
        </w:rPr>
        <w:t xml:space="preserve"> que el proyecto no genera obligaciones económicas para las administraciones, ni tiene impacto presupuestario sobre l</w:t>
      </w:r>
      <w:r w:rsidR="00712C73">
        <w:rPr>
          <w:rFonts w:ascii="Arial" w:hAnsi="Arial" w:cs="Arial"/>
          <w:sz w:val="24"/>
          <w:szCs w:val="24"/>
        </w:rPr>
        <w:t>as mismas, tanto Administración General del Estado como Comunidades Autónomas.</w:t>
      </w:r>
    </w:p>
    <w:p w:rsidR="000D2AA1" w:rsidRDefault="000D2AA1" w:rsidP="005635AE">
      <w:pPr>
        <w:tabs>
          <w:tab w:val="left" w:pos="1723"/>
        </w:tabs>
        <w:jc w:val="both"/>
        <w:rPr>
          <w:rFonts w:ascii="Arial" w:hAnsi="Arial" w:cs="Arial"/>
          <w:sz w:val="24"/>
          <w:szCs w:val="24"/>
        </w:rPr>
      </w:pPr>
    </w:p>
    <w:p w:rsidR="000D2AA1" w:rsidRDefault="000D2AA1" w:rsidP="005635AE">
      <w:pPr>
        <w:tabs>
          <w:tab w:val="left" w:pos="1723"/>
        </w:tabs>
        <w:jc w:val="both"/>
        <w:rPr>
          <w:rFonts w:ascii="Arial" w:hAnsi="Arial" w:cs="Arial"/>
          <w:sz w:val="24"/>
          <w:szCs w:val="24"/>
        </w:rPr>
      </w:pPr>
      <w:r>
        <w:rPr>
          <w:rFonts w:ascii="Arial" w:hAnsi="Arial" w:cs="Arial"/>
          <w:sz w:val="24"/>
          <w:szCs w:val="24"/>
        </w:rPr>
        <w:t>Tampoco tiene efectos sobre la competencia, pues la ampliación de la Lista 1 afecta a una serie de sustancias sobre la que recae una prohibición generalizada para cualquier actividad industrial o comercial</w:t>
      </w:r>
      <w:r w:rsidR="005635AE">
        <w:rPr>
          <w:rFonts w:ascii="Arial" w:hAnsi="Arial" w:cs="Arial"/>
          <w:sz w:val="24"/>
          <w:szCs w:val="24"/>
        </w:rPr>
        <w:t>, mientras que</w:t>
      </w:r>
      <w:r>
        <w:rPr>
          <w:rFonts w:ascii="Arial" w:hAnsi="Arial" w:cs="Arial"/>
          <w:sz w:val="24"/>
          <w:szCs w:val="24"/>
        </w:rPr>
        <w:t xml:space="preserve"> las modificaciones en los anexos son </w:t>
      </w:r>
      <w:r w:rsidR="005635AE">
        <w:rPr>
          <w:rFonts w:ascii="Arial" w:hAnsi="Arial" w:cs="Arial"/>
          <w:sz w:val="24"/>
          <w:szCs w:val="24"/>
        </w:rPr>
        <w:t>principalmente</w:t>
      </w:r>
      <w:r>
        <w:rPr>
          <w:rFonts w:ascii="Arial" w:hAnsi="Arial" w:cs="Arial"/>
          <w:sz w:val="24"/>
          <w:szCs w:val="24"/>
        </w:rPr>
        <w:t xml:space="preserve"> aclaratorias.</w:t>
      </w:r>
    </w:p>
    <w:p w:rsidR="000D2AA1" w:rsidRDefault="000D2AA1" w:rsidP="000D2AA1">
      <w:pPr>
        <w:tabs>
          <w:tab w:val="left" w:pos="1723"/>
        </w:tabs>
        <w:rPr>
          <w:rFonts w:ascii="Arial" w:hAnsi="Arial" w:cs="Arial"/>
          <w:sz w:val="24"/>
          <w:szCs w:val="24"/>
        </w:rPr>
      </w:pPr>
    </w:p>
    <w:p w:rsidR="000D2AA1" w:rsidRDefault="000D2AA1" w:rsidP="000D2AA1">
      <w:pPr>
        <w:rPr>
          <w:lang w:val="es-ES"/>
        </w:rPr>
      </w:pPr>
    </w:p>
    <w:p w:rsidR="002373C1" w:rsidRPr="007A7D70" w:rsidRDefault="002373C1" w:rsidP="000D2AA1">
      <w:pPr>
        <w:rPr>
          <w:lang w:val="es-ES"/>
        </w:rPr>
      </w:pPr>
    </w:p>
    <w:p w:rsidR="000D2AA1" w:rsidRPr="008D25EE" w:rsidRDefault="000D2AA1" w:rsidP="000D2AA1">
      <w:pPr>
        <w:pStyle w:val="Ttulo1"/>
        <w:ind w:left="360"/>
        <w:rPr>
          <w:rStyle w:val="Ttulodellibro"/>
          <w:rFonts w:cs="Arial"/>
          <w:i w:val="0"/>
          <w:sz w:val="22"/>
          <w:szCs w:val="22"/>
          <w:lang w:val="es-ES"/>
        </w:rPr>
      </w:pPr>
      <w:r>
        <w:rPr>
          <w:rStyle w:val="Ttulodellibro"/>
          <w:rFonts w:cs="Arial"/>
          <w:sz w:val="22"/>
          <w:szCs w:val="22"/>
          <w:lang w:val="es-ES"/>
        </w:rPr>
        <w:t>2. Impacto por razón de género</w:t>
      </w:r>
      <w:r w:rsidRPr="008D25EE">
        <w:rPr>
          <w:rStyle w:val="Ttulodellibro"/>
          <w:rFonts w:cs="Arial"/>
          <w:sz w:val="22"/>
          <w:szCs w:val="22"/>
          <w:lang w:val="es-ES"/>
        </w:rPr>
        <w:t xml:space="preserve"> </w:t>
      </w:r>
    </w:p>
    <w:p w:rsidR="000D2AA1" w:rsidRDefault="000D2AA1" w:rsidP="000D2AA1">
      <w:pPr>
        <w:pStyle w:val="Textonotapie"/>
        <w:tabs>
          <w:tab w:val="left" w:pos="1021"/>
          <w:tab w:val="left" w:pos="8080"/>
        </w:tabs>
        <w:rPr>
          <w:rFonts w:ascii="Arial" w:hAnsi="Arial" w:cs="Arial"/>
          <w:sz w:val="24"/>
          <w:szCs w:val="24"/>
        </w:rPr>
      </w:pPr>
    </w:p>
    <w:p w:rsidR="000D2AA1" w:rsidRDefault="000D2AA1" w:rsidP="000D2AA1">
      <w:pPr>
        <w:tabs>
          <w:tab w:val="left" w:pos="1723"/>
        </w:tabs>
        <w:rPr>
          <w:rFonts w:ascii="Arial" w:hAnsi="Arial" w:cs="Arial"/>
          <w:sz w:val="24"/>
          <w:szCs w:val="24"/>
        </w:rPr>
      </w:pPr>
      <w:r>
        <w:rPr>
          <w:rFonts w:ascii="Arial" w:hAnsi="Arial" w:cs="Arial"/>
          <w:sz w:val="24"/>
          <w:szCs w:val="24"/>
        </w:rPr>
        <w:t>La propuesta n</w:t>
      </w:r>
      <w:r w:rsidRPr="000D2AA1">
        <w:rPr>
          <w:rFonts w:ascii="Arial" w:hAnsi="Arial" w:cs="Arial"/>
          <w:sz w:val="24"/>
          <w:szCs w:val="24"/>
        </w:rPr>
        <w:t>o tiene, ni en el fondo ni en la</w:t>
      </w:r>
      <w:r>
        <w:rPr>
          <w:rFonts w:ascii="Arial" w:hAnsi="Arial" w:cs="Arial"/>
          <w:sz w:val="24"/>
          <w:szCs w:val="24"/>
        </w:rPr>
        <w:t xml:space="preserve"> </w:t>
      </w:r>
      <w:r w:rsidRPr="000D2AA1">
        <w:rPr>
          <w:rFonts w:ascii="Arial" w:hAnsi="Arial" w:cs="Arial"/>
          <w:sz w:val="24"/>
          <w:szCs w:val="24"/>
        </w:rPr>
        <w:t>forma, impacto de género</w:t>
      </w:r>
      <w:r>
        <w:rPr>
          <w:rFonts w:ascii="Arial" w:hAnsi="Arial" w:cs="Arial"/>
          <w:sz w:val="24"/>
          <w:szCs w:val="24"/>
        </w:rPr>
        <w:t xml:space="preserve">: </w:t>
      </w:r>
      <w:r w:rsidRPr="000D2AA1">
        <w:rPr>
          <w:rFonts w:ascii="Arial" w:hAnsi="Arial" w:cs="Arial"/>
          <w:sz w:val="24"/>
          <w:szCs w:val="24"/>
        </w:rPr>
        <w:t xml:space="preserve">no contiene </w:t>
      </w:r>
      <w:r>
        <w:rPr>
          <w:rFonts w:ascii="Arial" w:hAnsi="Arial" w:cs="Arial"/>
          <w:sz w:val="24"/>
          <w:szCs w:val="24"/>
        </w:rPr>
        <w:t>ninguna d</w:t>
      </w:r>
      <w:r w:rsidRPr="000D2AA1">
        <w:rPr>
          <w:rFonts w:ascii="Arial" w:hAnsi="Arial" w:cs="Arial"/>
          <w:sz w:val="24"/>
          <w:szCs w:val="24"/>
        </w:rPr>
        <w:t>isposición que pudiera favorecer</w:t>
      </w:r>
      <w:r>
        <w:rPr>
          <w:rFonts w:ascii="Arial" w:hAnsi="Arial" w:cs="Arial"/>
          <w:sz w:val="24"/>
          <w:szCs w:val="24"/>
        </w:rPr>
        <w:t xml:space="preserve"> </w:t>
      </w:r>
      <w:r w:rsidRPr="000D2AA1">
        <w:rPr>
          <w:rFonts w:ascii="Arial" w:hAnsi="Arial" w:cs="Arial"/>
          <w:sz w:val="24"/>
          <w:szCs w:val="24"/>
        </w:rPr>
        <w:t>situaciones de discriminación por razón de género.</w:t>
      </w:r>
    </w:p>
    <w:sectPr w:rsidR="000D2AA1">
      <w:type w:val="continuous"/>
      <w:pgSz w:w="11906" w:h="16838" w:code="9"/>
      <w:pgMar w:top="992" w:right="567" w:bottom="851" w:left="851" w:header="289" w:footer="1018" w:gutter="0"/>
      <w:cols w:space="720" w:equalWidth="0">
        <w:col w:w="9411"/>
      </w:cols>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06" w:rsidRDefault="00E16B06">
      <w:r>
        <w:separator/>
      </w:r>
    </w:p>
  </w:endnote>
  <w:endnote w:type="continuationSeparator" w:id="0">
    <w:p w:rsidR="00E16B06" w:rsidRDefault="00E1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SvtyTwo OS ITC TT-Book">
    <w:altName w:val="Courier New"/>
    <w:panose1 w:val="00000000000000000000"/>
    <w:charset w:val="00"/>
    <w:family w:val="auto"/>
    <w:notTrueType/>
    <w:pitch w:val="variable"/>
    <w:sig w:usb0="00000003" w:usb1="00000000" w:usb2="00000000" w:usb3="00000000" w:csb0="00000001" w:csb1="00000000"/>
  </w:font>
  <w:font w:name="ヒラギノ角ゴ Pro W3">
    <w:altName w:val="Yu Gothic UI"/>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9D" w:rsidRDefault="009B1B9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B1B9D" w:rsidRDefault="009B1B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margin" w:tblpXSpec="right" w:tblpY="1"/>
      <w:tblOverlap w:val="never"/>
      <w:tblW w:w="10560" w:type="dxa"/>
      <w:tblBorders>
        <w:insideV w:val="single" w:sz="4" w:space="0" w:color="auto"/>
      </w:tblBorders>
      <w:tblCellMar>
        <w:left w:w="70" w:type="dxa"/>
        <w:right w:w="70" w:type="dxa"/>
      </w:tblCellMar>
      <w:tblLook w:val="0000" w:firstRow="0" w:lastRow="0" w:firstColumn="0" w:lastColumn="0" w:noHBand="0" w:noVBand="0"/>
    </w:tblPr>
    <w:tblGrid>
      <w:gridCol w:w="8505"/>
      <w:gridCol w:w="2055"/>
    </w:tblGrid>
    <w:tr w:rsidR="00D85FC8" w:rsidTr="000A7AE3">
      <w:tc>
        <w:tcPr>
          <w:tcW w:w="8505" w:type="dxa"/>
          <w:vAlign w:val="bottom"/>
        </w:tcPr>
        <w:p w:rsidR="00D85FC8" w:rsidRPr="004D0617" w:rsidRDefault="00EE5507" w:rsidP="00D85FC8">
          <w:pPr>
            <w:pStyle w:val="Piedepgina"/>
            <w:rPr>
              <w:rFonts w:ascii="Verdana" w:hAnsi="Verdana" w:cs="Arial"/>
              <w:sz w:val="16"/>
            </w:rPr>
          </w:pPr>
          <w:hyperlink r:id="rId1" w:history="1">
            <w:r w:rsidR="00D85FC8" w:rsidRPr="004D0617">
              <w:rPr>
                <w:rStyle w:val="Hipervnculo"/>
                <w:rFonts w:ascii="Verdana" w:hAnsi="Verdana" w:cs="Arial"/>
                <w:sz w:val="16"/>
              </w:rPr>
              <w:t>https://industria.gob.es/ANPAQ/</w:t>
            </w:r>
          </w:hyperlink>
        </w:p>
        <w:p w:rsidR="00D85FC8" w:rsidRPr="004D0617" w:rsidRDefault="00EE5507" w:rsidP="00D85FC8">
          <w:pPr>
            <w:pStyle w:val="Textonotapie"/>
            <w:tabs>
              <w:tab w:val="left" w:pos="1021"/>
              <w:tab w:val="left" w:pos="8080"/>
            </w:tabs>
            <w:rPr>
              <w:rFonts w:ascii="Verdana" w:hAnsi="Verdana" w:cs="Arial"/>
              <w:sz w:val="16"/>
            </w:rPr>
          </w:pPr>
          <w:hyperlink r:id="rId2" w:history="1">
            <w:r w:rsidR="00F82297" w:rsidRPr="00313F99">
              <w:rPr>
                <w:rStyle w:val="Hipervnculo"/>
                <w:rFonts w:ascii="Verdana" w:hAnsi="Verdana" w:cs="Arial"/>
                <w:sz w:val="16"/>
              </w:rPr>
              <w:t>sganpaq@mintur.es</w:t>
            </w:r>
          </w:hyperlink>
        </w:p>
        <w:p w:rsidR="00D85FC8" w:rsidRPr="004D0617" w:rsidRDefault="00EE5507" w:rsidP="00D85FC8">
          <w:pPr>
            <w:pStyle w:val="Textonotapie"/>
            <w:tabs>
              <w:tab w:val="left" w:pos="1021"/>
              <w:tab w:val="left" w:pos="8080"/>
            </w:tabs>
            <w:rPr>
              <w:rFonts w:ascii="Verdana" w:hAnsi="Verdana" w:cs="Arial"/>
              <w:sz w:val="16"/>
            </w:rPr>
          </w:pPr>
          <w:hyperlink r:id="rId3" w:history="1">
            <w:r w:rsidR="00F82297" w:rsidRPr="00313F99">
              <w:rPr>
                <w:rStyle w:val="Hipervnculo"/>
                <w:rFonts w:ascii="Verdana" w:hAnsi="Verdana" w:cs="Arial"/>
                <w:sz w:val="16"/>
              </w:rPr>
              <w:t>industrias.sganpaq@mintur.es</w:t>
            </w:r>
          </w:hyperlink>
        </w:p>
        <w:p w:rsidR="00D85FC8" w:rsidRDefault="00D85FC8" w:rsidP="00D85FC8">
          <w:pPr>
            <w:pStyle w:val="Textonotapie"/>
            <w:tabs>
              <w:tab w:val="left" w:pos="1021"/>
              <w:tab w:val="left" w:pos="8080"/>
            </w:tabs>
            <w:ind w:right="-212"/>
            <w:rPr>
              <w:rFonts w:ascii="Gill Sans MT" w:hAnsi="Gill Sans MT" w:cs="Arial"/>
              <w:sz w:val="14"/>
            </w:rPr>
          </w:pPr>
        </w:p>
      </w:tc>
      <w:tc>
        <w:tcPr>
          <w:tcW w:w="2055" w:type="dxa"/>
        </w:tcPr>
        <w:p w:rsidR="00D85FC8" w:rsidRPr="004D0617" w:rsidRDefault="00D85FC8" w:rsidP="00D85FC8">
          <w:pPr>
            <w:pStyle w:val="Textonotapie"/>
            <w:tabs>
              <w:tab w:val="left" w:pos="1915"/>
              <w:tab w:val="left" w:pos="8080"/>
            </w:tabs>
            <w:ind w:right="-42"/>
            <w:rPr>
              <w:rFonts w:ascii="Verdana" w:hAnsi="Verdana" w:cs="Arial"/>
              <w:sz w:val="14"/>
            </w:rPr>
          </w:pPr>
          <w:r w:rsidRPr="004D0617">
            <w:rPr>
              <w:rFonts w:ascii="Verdana" w:hAnsi="Verdana" w:cs="Arial"/>
              <w:sz w:val="14"/>
            </w:rPr>
            <w:t>Paseo de la Castellana, 160</w:t>
          </w:r>
        </w:p>
        <w:p w:rsidR="00D85FC8" w:rsidRPr="004D0617" w:rsidRDefault="00D85FC8" w:rsidP="00D85FC8">
          <w:pPr>
            <w:pStyle w:val="Textonotapie"/>
            <w:tabs>
              <w:tab w:val="left" w:pos="1915"/>
              <w:tab w:val="left" w:pos="8080"/>
            </w:tabs>
            <w:ind w:right="-42"/>
            <w:rPr>
              <w:rFonts w:ascii="Verdana" w:hAnsi="Verdana" w:cs="Arial"/>
              <w:sz w:val="14"/>
            </w:rPr>
          </w:pPr>
          <w:r w:rsidRPr="004D0617">
            <w:rPr>
              <w:rFonts w:ascii="Verdana" w:hAnsi="Verdana" w:cs="Arial"/>
              <w:sz w:val="14"/>
            </w:rPr>
            <w:t>28071 Madrid</w:t>
          </w:r>
        </w:p>
        <w:p w:rsidR="00D85FC8" w:rsidRPr="004D0617" w:rsidRDefault="00D85FC8" w:rsidP="00D85FC8">
          <w:pPr>
            <w:pStyle w:val="Textonotapie"/>
            <w:tabs>
              <w:tab w:val="left" w:pos="1915"/>
              <w:tab w:val="left" w:pos="8080"/>
            </w:tabs>
            <w:ind w:right="-42"/>
            <w:rPr>
              <w:rFonts w:ascii="Verdana" w:hAnsi="Verdana" w:cs="Arial"/>
              <w:sz w:val="14"/>
            </w:rPr>
          </w:pPr>
          <w:r w:rsidRPr="004D0617">
            <w:rPr>
              <w:rFonts w:ascii="Verdana" w:hAnsi="Verdana" w:cs="Arial"/>
              <w:sz w:val="14"/>
            </w:rPr>
            <w:t>TLFS: 91 349 46 17</w:t>
          </w:r>
        </w:p>
        <w:p w:rsidR="00D85FC8" w:rsidRPr="004D0617" w:rsidRDefault="00D85FC8" w:rsidP="00D85FC8">
          <w:pPr>
            <w:pStyle w:val="Textonotapie"/>
            <w:tabs>
              <w:tab w:val="left" w:pos="1915"/>
              <w:tab w:val="left" w:pos="8080"/>
            </w:tabs>
            <w:ind w:right="-42"/>
            <w:rPr>
              <w:rFonts w:ascii="Verdana" w:hAnsi="Verdana" w:cs="Arial"/>
              <w:sz w:val="14"/>
            </w:rPr>
          </w:pPr>
          <w:r>
            <w:rPr>
              <w:rFonts w:ascii="Verdana" w:hAnsi="Verdana" w:cs="Arial"/>
              <w:sz w:val="14"/>
            </w:rPr>
            <w:t xml:space="preserve">         91 349 50 22 / </w:t>
          </w:r>
          <w:r w:rsidRPr="004D0617">
            <w:rPr>
              <w:rFonts w:ascii="Verdana" w:hAnsi="Verdana" w:cs="Arial"/>
              <w:sz w:val="14"/>
            </w:rPr>
            <w:t>94</w:t>
          </w:r>
        </w:p>
        <w:p w:rsidR="00D85FC8" w:rsidRPr="004D0617" w:rsidRDefault="00D85FC8" w:rsidP="00D85FC8">
          <w:pPr>
            <w:pStyle w:val="Textonotapie"/>
            <w:tabs>
              <w:tab w:val="left" w:pos="1915"/>
              <w:tab w:val="left" w:pos="8080"/>
            </w:tabs>
            <w:ind w:right="-67"/>
            <w:rPr>
              <w:rFonts w:ascii="Verdana" w:hAnsi="Verdana" w:cs="Arial"/>
              <w:sz w:val="14"/>
            </w:rPr>
          </w:pPr>
        </w:p>
      </w:tc>
    </w:tr>
  </w:tbl>
  <w:p w:rsidR="00D85FC8" w:rsidRDefault="00D85FC8">
    <w:pPr>
      <w:pStyle w:val="Piedepgina"/>
    </w:pPr>
  </w:p>
  <w:p w:rsidR="00D85FC8" w:rsidRDefault="00D85F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27" w:rsidRDefault="007B2527">
    <w:pPr>
      <w:pStyle w:val="Piedepgina"/>
      <w:rPr>
        <w:rFonts w:ascii="Gill Sans MT" w:hAnsi="Gill Sans MT" w:cs="Arial"/>
        <w:sz w:val="14"/>
      </w:rPr>
    </w:pPr>
  </w:p>
  <w:p w:rsidR="007B2527" w:rsidRDefault="007B2527">
    <w:pPr>
      <w:pStyle w:val="Piedepgina"/>
      <w:rPr>
        <w:rFonts w:ascii="Gill Sans MT" w:hAnsi="Gill Sans MT" w:cs="Arial"/>
        <w:sz w:val="14"/>
      </w:rPr>
    </w:pPr>
  </w:p>
  <w:p w:rsidR="007B2527" w:rsidRDefault="007B2527">
    <w:pPr>
      <w:pStyle w:val="Piedepgina"/>
      <w:rPr>
        <w:rFonts w:ascii="Gill Sans MT" w:hAnsi="Gill Sans MT" w:cs="Arial"/>
        <w:sz w:val="14"/>
      </w:rPr>
    </w:pPr>
    <w:r>
      <w:rPr>
        <w:noProof/>
        <w:lang w:val="es-ES"/>
      </w:rPr>
      <mc:AlternateContent>
        <mc:Choice Requires="wps">
          <w:drawing>
            <wp:anchor distT="0" distB="0" distL="114300" distR="114300" simplePos="0" relativeHeight="251657216" behindDoc="0" locked="0" layoutInCell="0" allowOverlap="1" wp14:anchorId="042FBFEB">
              <wp:simplePos x="0" y="0"/>
              <wp:positionH relativeFrom="margin">
                <wp:align>right</wp:align>
              </wp:positionH>
              <wp:positionV relativeFrom="paragraph">
                <wp:posOffset>7807</wp:posOffset>
              </wp:positionV>
              <wp:extent cx="1438910" cy="537882"/>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537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527" w:rsidRDefault="007B2527" w:rsidP="007B2527">
                          <w:pPr>
                            <w:pStyle w:val="Textonotapie"/>
                            <w:tabs>
                              <w:tab w:val="left" w:pos="1915"/>
                              <w:tab w:val="left" w:pos="8080"/>
                            </w:tabs>
                            <w:ind w:right="-42"/>
                            <w:suppressOverlap/>
                            <w:rPr>
                              <w:rFonts w:ascii="Gill Sans MT" w:hAnsi="Gill Sans MT" w:cs="Arial"/>
                              <w:sz w:val="14"/>
                            </w:rPr>
                          </w:pPr>
                          <w:r w:rsidRPr="007B2527">
                            <w:rPr>
                              <w:rFonts w:ascii="Gill Sans MT" w:hAnsi="Gill Sans MT" w:cs="Arial"/>
                              <w:sz w:val="14"/>
                            </w:rPr>
                            <w:t>Paseo de la Castellana, 160</w:t>
                          </w:r>
                        </w:p>
                        <w:p w:rsidR="007B2527" w:rsidRDefault="007B2527" w:rsidP="007B2527">
                          <w:pPr>
                            <w:pStyle w:val="Textonotapie"/>
                            <w:tabs>
                              <w:tab w:val="left" w:pos="1915"/>
                              <w:tab w:val="left" w:pos="8080"/>
                            </w:tabs>
                            <w:ind w:right="-42"/>
                            <w:suppressOverlap/>
                            <w:rPr>
                              <w:rFonts w:ascii="Gill Sans MT" w:hAnsi="Gill Sans MT" w:cs="Arial"/>
                              <w:sz w:val="14"/>
                            </w:rPr>
                          </w:pPr>
                          <w:r>
                            <w:rPr>
                              <w:rFonts w:ascii="Gill Sans MT" w:hAnsi="Gill Sans MT" w:cs="Arial"/>
                              <w:sz w:val="14"/>
                            </w:rPr>
                            <w:t>28071</w:t>
                          </w:r>
                          <w:r w:rsidRPr="007B2527">
                            <w:rPr>
                              <w:rFonts w:ascii="Gill Sans MT" w:hAnsi="Gill Sans MT" w:cs="Arial"/>
                              <w:sz w:val="14"/>
                            </w:rPr>
                            <w:t xml:space="preserve"> Madrid</w:t>
                          </w:r>
                        </w:p>
                        <w:p w:rsidR="007B2527" w:rsidRDefault="007B2527" w:rsidP="007B2527">
                          <w:pPr>
                            <w:pStyle w:val="Textonotapie"/>
                            <w:tabs>
                              <w:tab w:val="left" w:pos="1915"/>
                              <w:tab w:val="left" w:pos="8080"/>
                            </w:tabs>
                            <w:ind w:right="-42"/>
                            <w:suppressOverlap/>
                            <w:rPr>
                              <w:rFonts w:ascii="Gill Sans MT" w:hAnsi="Gill Sans MT" w:cs="Arial"/>
                              <w:sz w:val="14"/>
                            </w:rPr>
                          </w:pPr>
                          <w:r>
                            <w:rPr>
                              <w:rFonts w:ascii="Gill Sans MT" w:hAnsi="Gill Sans MT" w:cs="Arial"/>
                              <w:sz w:val="14"/>
                            </w:rPr>
                            <w:t>TEL: 91 349 46 17</w:t>
                          </w:r>
                        </w:p>
                        <w:p w:rsidR="0008523C" w:rsidRDefault="0008523C" w:rsidP="007B2527">
                          <w:pPr>
                            <w:pStyle w:val="Textonotapie"/>
                            <w:tabs>
                              <w:tab w:val="left" w:pos="1915"/>
                              <w:tab w:val="left" w:pos="8080"/>
                            </w:tabs>
                            <w:ind w:right="-42"/>
                            <w:suppressOverlap/>
                            <w:rPr>
                              <w:rFonts w:ascii="Gill Sans MT" w:hAnsi="Gill Sans MT" w:cs="Arial"/>
                              <w:sz w:val="14"/>
                            </w:rPr>
                          </w:pPr>
                          <w:r>
                            <w:rPr>
                              <w:rFonts w:ascii="Gill Sans MT" w:hAnsi="Gill Sans MT" w:cs="Arial"/>
                              <w:sz w:val="14"/>
                            </w:rPr>
                            <w:t xml:space="preserve">        91 349 50 22 / 94</w:t>
                          </w:r>
                        </w:p>
                        <w:p w:rsidR="007B2527" w:rsidRDefault="007B2527" w:rsidP="007B25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FBFEB" id="Rectangle 37" o:spid="_x0000_s1044" style="position:absolute;margin-left:62.1pt;margin-top:.6pt;width:113.3pt;height:42.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" o:allowincell="f" filled="f" stroked="f">
              <v:textbox>
                <w:txbxContent>
                  <w:p w:rsidR="007B2527" w:rsidRDefault="007B2527" w:rsidP="007B2527">
                    <w:pPr>
                      <w:pStyle w:val="Textonotapie"/>
                      <w:tabs>
                        <w:tab w:val="left" w:pos="1915"/>
                        <w:tab w:val="left" w:pos="8080"/>
                      </w:tabs>
                      <w:ind w:right="-42"/>
                      <w:suppressOverlap/>
                      <w:rPr>
                        <w:rFonts w:ascii="Gill Sans MT" w:hAnsi="Gill Sans MT" w:cs="Arial"/>
                        <w:sz w:val="14"/>
                      </w:rPr>
                    </w:pPr>
                    <w:r w:rsidRPr="007B2527">
                      <w:rPr>
                        <w:rFonts w:ascii="Gill Sans MT" w:hAnsi="Gill Sans MT" w:cs="Arial"/>
                        <w:sz w:val="14"/>
                      </w:rPr>
                      <w:t>Paseo de la Castellana, 160</w:t>
                    </w:r>
                  </w:p>
                  <w:p w:rsidR="007B2527" w:rsidRDefault="007B2527" w:rsidP="007B2527">
                    <w:pPr>
                      <w:pStyle w:val="Textonotapie"/>
                      <w:tabs>
                        <w:tab w:val="left" w:pos="1915"/>
                        <w:tab w:val="left" w:pos="8080"/>
                      </w:tabs>
                      <w:ind w:right="-42"/>
                      <w:suppressOverlap/>
                      <w:rPr>
                        <w:rFonts w:ascii="Gill Sans MT" w:hAnsi="Gill Sans MT" w:cs="Arial"/>
                        <w:sz w:val="14"/>
                      </w:rPr>
                    </w:pPr>
                    <w:r>
                      <w:rPr>
                        <w:rFonts w:ascii="Gill Sans MT" w:hAnsi="Gill Sans MT" w:cs="Arial"/>
                        <w:sz w:val="14"/>
                      </w:rPr>
                      <w:t>28071</w:t>
                    </w:r>
                    <w:r w:rsidRPr="007B2527">
                      <w:rPr>
                        <w:rFonts w:ascii="Gill Sans MT" w:hAnsi="Gill Sans MT" w:cs="Arial"/>
                        <w:sz w:val="14"/>
                      </w:rPr>
                      <w:t xml:space="preserve"> Madrid</w:t>
                    </w:r>
                  </w:p>
                  <w:p w:rsidR="007B2527" w:rsidRDefault="007B2527" w:rsidP="007B2527">
                    <w:pPr>
                      <w:pStyle w:val="Textonotapie"/>
                      <w:tabs>
                        <w:tab w:val="left" w:pos="1915"/>
                        <w:tab w:val="left" w:pos="8080"/>
                      </w:tabs>
                      <w:ind w:right="-42"/>
                      <w:suppressOverlap/>
                      <w:rPr>
                        <w:rFonts w:ascii="Gill Sans MT" w:hAnsi="Gill Sans MT" w:cs="Arial"/>
                        <w:sz w:val="14"/>
                      </w:rPr>
                    </w:pPr>
                    <w:r>
                      <w:rPr>
                        <w:rFonts w:ascii="Gill Sans MT" w:hAnsi="Gill Sans MT" w:cs="Arial"/>
                        <w:sz w:val="14"/>
                      </w:rPr>
                      <w:t>TEL: 91 349 46 17</w:t>
                    </w:r>
                  </w:p>
                  <w:p w:rsidR="0008523C" w:rsidRDefault="0008523C" w:rsidP="007B2527">
                    <w:pPr>
                      <w:pStyle w:val="Textonotapie"/>
                      <w:tabs>
                        <w:tab w:val="left" w:pos="1915"/>
                        <w:tab w:val="left" w:pos="8080"/>
                      </w:tabs>
                      <w:ind w:right="-42"/>
                      <w:suppressOverlap/>
                      <w:rPr>
                        <w:rFonts w:ascii="Gill Sans MT" w:hAnsi="Gill Sans MT" w:cs="Arial"/>
                        <w:sz w:val="14"/>
                      </w:rPr>
                    </w:pPr>
                    <w:r>
                      <w:rPr>
                        <w:rFonts w:ascii="Gill Sans MT" w:hAnsi="Gill Sans MT" w:cs="Arial"/>
                        <w:sz w:val="14"/>
                      </w:rPr>
                      <w:t xml:space="preserve">        91 349 50 22 / 94</w:t>
                    </w:r>
                  </w:p>
                  <w:p w:rsidR="007B2527" w:rsidRDefault="007B2527" w:rsidP="007B2527"/>
                </w:txbxContent>
              </v:textbox>
              <w10:wrap anchorx="margin"/>
            </v:rect>
          </w:pict>
        </mc:Fallback>
      </mc:AlternateContent>
    </w:r>
    <w:hyperlink r:id="rId1" w:history="1">
      <w:r w:rsidRPr="00A576A4">
        <w:rPr>
          <w:rStyle w:val="Hipervnculo"/>
          <w:rFonts w:ascii="Gill Sans MT" w:hAnsi="Gill Sans MT" w:cs="Arial"/>
          <w:sz w:val="14"/>
        </w:rPr>
        <w:t>https://industria.gob.es/ANPAQ/</w:t>
      </w:r>
    </w:hyperlink>
  </w:p>
  <w:p w:rsidR="007B2527" w:rsidRPr="00545B20" w:rsidRDefault="00EE5507" w:rsidP="007B2527">
    <w:pPr>
      <w:pStyle w:val="Textonotapie"/>
      <w:tabs>
        <w:tab w:val="left" w:pos="1021"/>
        <w:tab w:val="left" w:pos="8080"/>
      </w:tabs>
      <w:rPr>
        <w:rFonts w:ascii="Gill Sans MT" w:hAnsi="Gill Sans MT" w:cs="Arial"/>
        <w:sz w:val="14"/>
      </w:rPr>
    </w:pPr>
    <w:hyperlink r:id="rId2" w:history="1">
      <w:r w:rsidR="007B2527" w:rsidRPr="00545B20">
        <w:rPr>
          <w:rFonts w:ascii="Gill Sans MT" w:hAnsi="Gill Sans MT" w:cs="Arial"/>
          <w:sz w:val="14"/>
        </w:rPr>
        <w:t>sganpaq@mincotur.es</w:t>
      </w:r>
    </w:hyperlink>
  </w:p>
  <w:p w:rsidR="007B2527" w:rsidRPr="00545B20" w:rsidRDefault="00EE5507" w:rsidP="007B2527">
    <w:pPr>
      <w:pStyle w:val="Textonotapie"/>
      <w:tabs>
        <w:tab w:val="left" w:pos="1021"/>
        <w:tab w:val="left" w:pos="8080"/>
      </w:tabs>
      <w:rPr>
        <w:rFonts w:ascii="Gill Sans MT" w:hAnsi="Gill Sans MT" w:cs="Arial"/>
        <w:sz w:val="14"/>
      </w:rPr>
    </w:pPr>
    <w:hyperlink r:id="rId3" w:history="1">
      <w:r w:rsidR="007B2527" w:rsidRPr="00545B20">
        <w:rPr>
          <w:rFonts w:ascii="Gill Sans MT" w:hAnsi="Gill Sans MT" w:cs="Arial"/>
          <w:sz w:val="14"/>
        </w:rPr>
        <w:t>industrias.sganpaq@mincotur.es</w:t>
      </w:r>
    </w:hyperlink>
  </w:p>
  <w:p w:rsidR="009B1B9D" w:rsidRDefault="009B1B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06" w:rsidRDefault="00E16B06">
      <w:r>
        <w:separator/>
      </w:r>
    </w:p>
  </w:footnote>
  <w:footnote w:type="continuationSeparator" w:id="0">
    <w:p w:rsidR="00E16B06" w:rsidRDefault="00E16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9D" w:rsidRDefault="009B1B9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B1B9D" w:rsidRDefault="009B1B9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C8" w:rsidRDefault="00D85FC8" w:rsidP="00D85FC8">
    <w:pPr>
      <w:pStyle w:val="Encabezado"/>
      <w:tabs>
        <w:tab w:val="left" w:pos="1701"/>
        <w:tab w:val="left" w:pos="2325"/>
      </w:tabs>
      <w:ind w:right="-370"/>
    </w:pPr>
    <w:r>
      <w:tab/>
    </w:r>
    <w:r>
      <w:rPr>
        <w:noProof/>
        <w:lang w:val="es-ES"/>
      </w:rPr>
      <w:drawing>
        <wp:anchor distT="0" distB="0" distL="114300" distR="114300" simplePos="0" relativeHeight="251662336" behindDoc="1" locked="0" layoutInCell="1" allowOverlap="1" wp14:anchorId="016E38C8" wp14:editId="7C850939">
          <wp:simplePos x="0" y="0"/>
          <wp:positionH relativeFrom="margin">
            <wp:align>left</wp:align>
          </wp:positionH>
          <wp:positionV relativeFrom="paragraph">
            <wp:posOffset>8890</wp:posOffset>
          </wp:positionV>
          <wp:extent cx="762000" cy="780415"/>
          <wp:effectExtent l="0" t="0" r="0" b="635"/>
          <wp:wrapTight wrapText="bothSides">
            <wp:wrapPolygon edited="0">
              <wp:start x="0" y="0"/>
              <wp:lineTo x="0" y="21090"/>
              <wp:lineTo x="21060" y="21090"/>
              <wp:lineTo x="2106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t xml:space="preserve">    </w:t>
    </w:r>
    <w:r>
      <w:tab/>
    </w:r>
  </w:p>
  <w:tbl>
    <w:tblPr>
      <w:tblpPr w:leftFromText="142" w:rightFromText="142" w:vertAnchor="text" w:horzAnchor="margin" w:tblpXSpec="right" w:tblpY="14"/>
      <w:tblOverlap w:val="never"/>
      <w:tblW w:w="0" w:type="auto"/>
      <w:tblCellMar>
        <w:left w:w="0" w:type="dxa"/>
        <w:right w:w="0" w:type="dxa"/>
      </w:tblCellMar>
      <w:tblLook w:val="0000" w:firstRow="0" w:lastRow="0" w:firstColumn="0" w:lastColumn="0" w:noHBand="0" w:noVBand="0"/>
    </w:tblPr>
    <w:tblGrid>
      <w:gridCol w:w="2547"/>
    </w:tblGrid>
    <w:tr w:rsidR="00D85FC8" w:rsidRPr="00B177FD" w:rsidTr="000A7AE3">
      <w:tc>
        <w:tcPr>
          <w:tcW w:w="2547"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rsidR="00D85FC8" w:rsidRPr="00B177FD" w:rsidRDefault="00D85FC8" w:rsidP="00D85FC8">
          <w:pPr>
            <w:spacing w:line="180" w:lineRule="exact"/>
            <w:rPr>
              <w:rFonts w:ascii="Verdana" w:hAnsi="Verdana"/>
              <w:sz w:val="14"/>
              <w:szCs w:val="18"/>
            </w:rPr>
          </w:pPr>
          <w:r w:rsidRPr="00B177FD">
            <w:rPr>
              <w:rFonts w:ascii="Verdana" w:hAnsi="Verdana"/>
              <w:sz w:val="14"/>
              <w:szCs w:val="18"/>
            </w:rPr>
            <w:t>Secretaría de Estado de Industria</w:t>
          </w:r>
        </w:p>
      </w:tc>
    </w:tr>
    <w:tr w:rsidR="00D85FC8" w:rsidRPr="00B177FD" w:rsidTr="000A7AE3">
      <w:trPr>
        <w:trHeight w:hRule="exact" w:val="57"/>
      </w:trPr>
      <w:tc>
        <w:tcPr>
          <w:tcW w:w="2547" w:type="dxa"/>
          <w:tcBorders>
            <w:top w:val="single" w:sz="4" w:space="0" w:color="auto"/>
          </w:tcBorders>
        </w:tcPr>
        <w:p w:rsidR="00D85FC8" w:rsidRPr="00B177FD" w:rsidRDefault="00D85FC8" w:rsidP="00D85FC8">
          <w:pPr>
            <w:tabs>
              <w:tab w:val="left" w:pos="1021"/>
              <w:tab w:val="left" w:pos="8080"/>
            </w:tabs>
            <w:ind w:right="-82"/>
            <w:rPr>
              <w:rFonts w:ascii="Verdana" w:hAnsi="Verdana"/>
              <w:sz w:val="14"/>
            </w:rPr>
          </w:pPr>
        </w:p>
      </w:tc>
    </w:tr>
    <w:tr w:rsidR="00D85FC8" w:rsidRPr="00B177FD" w:rsidTr="000A7AE3">
      <w:trPr>
        <w:trHeight w:val="211"/>
      </w:trPr>
      <w:tc>
        <w:tcPr>
          <w:tcW w:w="2547" w:type="dxa"/>
          <w:tcMar>
            <w:top w:w="57" w:type="dxa"/>
            <w:left w:w="57" w:type="dxa"/>
            <w:bottom w:w="57" w:type="dxa"/>
          </w:tcMar>
        </w:tcPr>
        <w:p w:rsidR="00D85FC8" w:rsidRPr="00B177FD" w:rsidRDefault="00D85FC8" w:rsidP="00D85FC8">
          <w:pPr>
            <w:spacing w:line="180" w:lineRule="exact"/>
            <w:rPr>
              <w:rFonts w:ascii="Verdana" w:hAnsi="Verdana"/>
              <w:sz w:val="14"/>
            </w:rPr>
          </w:pPr>
          <w:r w:rsidRPr="00B177FD">
            <w:rPr>
              <w:rFonts w:ascii="Verdana" w:hAnsi="Verdana"/>
              <w:sz w:val="14"/>
            </w:rPr>
            <w:t>Secretaría General de la Autoridad Nacional para la Prohibición de las Armas Químicas (ANPAQ)</w:t>
          </w:r>
        </w:p>
        <w:p w:rsidR="00D85FC8" w:rsidRPr="00B177FD" w:rsidRDefault="00D85FC8" w:rsidP="00D85FC8">
          <w:pPr>
            <w:tabs>
              <w:tab w:val="left" w:pos="1021"/>
              <w:tab w:val="left" w:pos="8080"/>
            </w:tabs>
            <w:ind w:right="-82"/>
            <w:rPr>
              <w:rFonts w:ascii="Verdana" w:hAnsi="Verdana"/>
              <w:sz w:val="14"/>
            </w:rPr>
          </w:pPr>
        </w:p>
      </w:tc>
    </w:tr>
  </w:tbl>
  <w:p w:rsidR="00D85FC8" w:rsidRDefault="00D85FC8" w:rsidP="00D85FC8">
    <w:pPr>
      <w:pStyle w:val="Encabezado"/>
      <w:tabs>
        <w:tab w:val="clear" w:pos="8504"/>
        <w:tab w:val="right" w:pos="6529"/>
      </w:tabs>
      <w:ind w:right="-370"/>
    </w:pPr>
  </w:p>
  <w:p w:rsidR="00D85FC8" w:rsidRDefault="00D85FC8" w:rsidP="00D85FC8">
    <w:pPr>
      <w:pStyle w:val="Encabezado"/>
      <w:tabs>
        <w:tab w:val="clear" w:pos="8504"/>
        <w:tab w:val="right" w:pos="6529"/>
      </w:tabs>
      <w:ind w:right="-370"/>
    </w:pPr>
    <w:r>
      <w:t xml:space="preserve">MINISTERIO </w:t>
    </w:r>
  </w:p>
  <w:p w:rsidR="00D85FC8" w:rsidRDefault="00D85FC8" w:rsidP="00D85FC8">
    <w:pPr>
      <w:pStyle w:val="Encabezado"/>
      <w:tabs>
        <w:tab w:val="clear" w:pos="4252"/>
        <w:tab w:val="clear" w:pos="8504"/>
        <w:tab w:val="left" w:pos="5266"/>
      </w:tabs>
      <w:ind w:right="-370"/>
    </w:pPr>
    <w:r>
      <w:t>DE INDUSTRIA</w:t>
    </w:r>
    <w:r>
      <w:tab/>
    </w:r>
  </w:p>
  <w:p w:rsidR="00D85FC8" w:rsidRDefault="00D85FC8" w:rsidP="00D85FC8">
    <w:pPr>
      <w:pStyle w:val="Encabezado"/>
      <w:tabs>
        <w:tab w:val="clear" w:pos="8504"/>
        <w:tab w:val="right" w:pos="6529"/>
      </w:tabs>
      <w:ind w:right="-370"/>
    </w:pPr>
    <w:r>
      <w:t xml:space="preserve">Y TURISMO </w:t>
    </w:r>
  </w:p>
  <w:p w:rsidR="009B1B9D" w:rsidRDefault="00D85FC8" w:rsidP="00D85FC8">
    <w:pPr>
      <w:pStyle w:val="Encabezado"/>
      <w:tabs>
        <w:tab w:val="clear" w:pos="8504"/>
        <w:tab w:val="left" w:pos="2692"/>
      </w:tabs>
      <w:ind w:right="-370"/>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623" w:rsidRDefault="00333623" w:rsidP="00333623">
    <w:pPr>
      <w:pStyle w:val="Encabezado"/>
      <w:tabs>
        <w:tab w:val="left" w:pos="1701"/>
        <w:tab w:val="left" w:pos="2325"/>
      </w:tabs>
      <w:ind w:right="-370"/>
    </w:pPr>
    <w:r>
      <w:rPr>
        <w:noProof/>
        <w:lang w:val="es-ES"/>
      </w:rPr>
      <w:drawing>
        <wp:anchor distT="0" distB="0" distL="114300" distR="114300" simplePos="0" relativeHeight="251660288" behindDoc="1" locked="0" layoutInCell="1" allowOverlap="1" wp14:anchorId="5C5AC7B0" wp14:editId="21AB9616">
          <wp:simplePos x="0" y="0"/>
          <wp:positionH relativeFrom="margin">
            <wp:align>left</wp:align>
          </wp:positionH>
          <wp:positionV relativeFrom="paragraph">
            <wp:posOffset>8890</wp:posOffset>
          </wp:positionV>
          <wp:extent cx="762000" cy="780415"/>
          <wp:effectExtent l="0" t="0" r="0" b="635"/>
          <wp:wrapTight wrapText="bothSides">
            <wp:wrapPolygon edited="0">
              <wp:start x="0" y="0"/>
              <wp:lineTo x="0" y="21090"/>
              <wp:lineTo x="21060" y="21090"/>
              <wp:lineTo x="2106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t xml:space="preserve">    </w:t>
    </w:r>
    <w:r>
      <w:tab/>
    </w:r>
  </w:p>
  <w:tbl>
    <w:tblPr>
      <w:tblpPr w:leftFromText="142" w:rightFromText="142" w:vertAnchor="text" w:horzAnchor="margin" w:tblpXSpec="right" w:tblpY="14"/>
      <w:tblOverlap w:val="never"/>
      <w:tblW w:w="0" w:type="auto"/>
      <w:tblCellMar>
        <w:left w:w="0" w:type="dxa"/>
        <w:right w:w="0" w:type="dxa"/>
      </w:tblCellMar>
      <w:tblLook w:val="0000" w:firstRow="0" w:lastRow="0" w:firstColumn="0" w:lastColumn="0" w:noHBand="0" w:noVBand="0"/>
    </w:tblPr>
    <w:tblGrid>
      <w:gridCol w:w="2547"/>
    </w:tblGrid>
    <w:tr w:rsidR="00333623" w:rsidRPr="00B177FD" w:rsidTr="000A7AE3">
      <w:tc>
        <w:tcPr>
          <w:tcW w:w="2547"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rsidR="00333623" w:rsidRPr="00B177FD" w:rsidRDefault="00333623" w:rsidP="00333623">
          <w:pPr>
            <w:spacing w:line="180" w:lineRule="exact"/>
            <w:rPr>
              <w:rFonts w:ascii="Verdana" w:hAnsi="Verdana"/>
              <w:sz w:val="14"/>
              <w:szCs w:val="18"/>
            </w:rPr>
          </w:pPr>
          <w:r w:rsidRPr="00B177FD">
            <w:rPr>
              <w:rFonts w:ascii="Verdana" w:hAnsi="Verdana"/>
              <w:sz w:val="14"/>
              <w:szCs w:val="18"/>
            </w:rPr>
            <w:t>Secretaría de Estado de Industria</w:t>
          </w:r>
        </w:p>
      </w:tc>
    </w:tr>
    <w:tr w:rsidR="00333623" w:rsidRPr="00B177FD" w:rsidTr="000A7AE3">
      <w:trPr>
        <w:trHeight w:hRule="exact" w:val="57"/>
      </w:trPr>
      <w:tc>
        <w:tcPr>
          <w:tcW w:w="2547" w:type="dxa"/>
          <w:tcBorders>
            <w:top w:val="single" w:sz="4" w:space="0" w:color="auto"/>
          </w:tcBorders>
        </w:tcPr>
        <w:p w:rsidR="00333623" w:rsidRPr="00B177FD" w:rsidRDefault="00333623" w:rsidP="00333623">
          <w:pPr>
            <w:tabs>
              <w:tab w:val="left" w:pos="1021"/>
              <w:tab w:val="left" w:pos="8080"/>
            </w:tabs>
            <w:ind w:right="-82"/>
            <w:rPr>
              <w:rFonts w:ascii="Verdana" w:hAnsi="Verdana"/>
              <w:sz w:val="14"/>
            </w:rPr>
          </w:pPr>
        </w:p>
      </w:tc>
    </w:tr>
    <w:tr w:rsidR="00333623" w:rsidRPr="00B177FD" w:rsidTr="000A7AE3">
      <w:trPr>
        <w:trHeight w:val="211"/>
      </w:trPr>
      <w:tc>
        <w:tcPr>
          <w:tcW w:w="2547" w:type="dxa"/>
          <w:tcMar>
            <w:top w:w="57" w:type="dxa"/>
            <w:left w:w="57" w:type="dxa"/>
            <w:bottom w:w="57" w:type="dxa"/>
          </w:tcMar>
        </w:tcPr>
        <w:p w:rsidR="00333623" w:rsidRPr="00B177FD" w:rsidRDefault="00333623" w:rsidP="00333623">
          <w:pPr>
            <w:spacing w:line="180" w:lineRule="exact"/>
            <w:rPr>
              <w:rFonts w:ascii="Verdana" w:hAnsi="Verdana"/>
              <w:sz w:val="14"/>
            </w:rPr>
          </w:pPr>
          <w:r w:rsidRPr="00B177FD">
            <w:rPr>
              <w:rFonts w:ascii="Verdana" w:hAnsi="Verdana"/>
              <w:sz w:val="14"/>
            </w:rPr>
            <w:t>Secretaría General de la Autoridad Nacional para la Prohibición de las Armas Químicas (ANPAQ)</w:t>
          </w:r>
        </w:p>
        <w:p w:rsidR="00333623" w:rsidRPr="00B177FD" w:rsidRDefault="00333623" w:rsidP="00333623">
          <w:pPr>
            <w:tabs>
              <w:tab w:val="left" w:pos="1021"/>
              <w:tab w:val="left" w:pos="8080"/>
            </w:tabs>
            <w:ind w:right="-82"/>
            <w:rPr>
              <w:rFonts w:ascii="Verdana" w:hAnsi="Verdana"/>
              <w:sz w:val="14"/>
            </w:rPr>
          </w:pPr>
        </w:p>
      </w:tc>
    </w:tr>
  </w:tbl>
  <w:p w:rsidR="00333623" w:rsidRDefault="00333623" w:rsidP="00333623">
    <w:pPr>
      <w:pStyle w:val="Encabezado"/>
      <w:tabs>
        <w:tab w:val="clear" w:pos="8504"/>
        <w:tab w:val="right" w:pos="6529"/>
      </w:tabs>
      <w:ind w:right="-370"/>
    </w:pPr>
  </w:p>
  <w:p w:rsidR="00333623" w:rsidRDefault="00333623" w:rsidP="00333623">
    <w:pPr>
      <w:pStyle w:val="Encabezado"/>
      <w:tabs>
        <w:tab w:val="clear" w:pos="8504"/>
        <w:tab w:val="right" w:pos="6529"/>
      </w:tabs>
      <w:ind w:right="-370"/>
    </w:pPr>
    <w:r>
      <w:t xml:space="preserve">MINISTERIO </w:t>
    </w:r>
  </w:p>
  <w:p w:rsidR="00333623" w:rsidRDefault="00333623" w:rsidP="00333623">
    <w:pPr>
      <w:pStyle w:val="Encabezado"/>
      <w:tabs>
        <w:tab w:val="clear" w:pos="4252"/>
        <w:tab w:val="clear" w:pos="8504"/>
        <w:tab w:val="left" w:pos="5266"/>
      </w:tabs>
      <w:ind w:right="-370"/>
    </w:pPr>
    <w:r>
      <w:t>DE INDUSTRIA</w:t>
    </w:r>
    <w:r>
      <w:tab/>
    </w:r>
  </w:p>
  <w:p w:rsidR="00333623" w:rsidRDefault="00333623" w:rsidP="00333623">
    <w:pPr>
      <w:pStyle w:val="Encabezado"/>
      <w:tabs>
        <w:tab w:val="clear" w:pos="8504"/>
        <w:tab w:val="right" w:pos="6529"/>
      </w:tabs>
      <w:ind w:right="-370"/>
    </w:pPr>
    <w:r>
      <w:t xml:space="preserve">Y TURISMO </w:t>
    </w:r>
  </w:p>
  <w:p w:rsidR="009B1B9D" w:rsidRDefault="009B1B9D">
    <w:pPr>
      <w:ind w:right="-1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3"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6B7256"/>
    <w:multiLevelType w:val="hybridMultilevel"/>
    <w:tmpl w:val="3AB80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4823F1F"/>
    <w:multiLevelType w:val="hybridMultilevel"/>
    <w:tmpl w:val="F93CF3E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FC1B77"/>
    <w:multiLevelType w:val="hybridMultilevel"/>
    <w:tmpl w:val="3AB80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98B47D1"/>
    <w:multiLevelType w:val="hybridMultilevel"/>
    <w:tmpl w:val="9F62EA0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20" w15:restartNumberingAfterBreak="0">
    <w:nsid w:val="48E537A0"/>
    <w:multiLevelType w:val="hybridMultilevel"/>
    <w:tmpl w:val="422E644E"/>
    <w:lvl w:ilvl="0" w:tplc="0C0A0001">
      <w:start w:val="1"/>
      <w:numFmt w:val="bullet"/>
      <w:lvlText w:val=""/>
      <w:lvlJc w:val="left"/>
      <w:pPr>
        <w:ind w:left="717" w:hanging="360"/>
      </w:pPr>
      <w:rPr>
        <w:rFonts w:ascii="Symbol" w:hAnsi="Symbol" w:hint="default"/>
      </w:rPr>
    </w:lvl>
    <w:lvl w:ilvl="1" w:tplc="673E3C1C">
      <w:numFmt w:val="bullet"/>
      <w:lvlText w:val="-"/>
      <w:lvlJc w:val="left"/>
      <w:pPr>
        <w:ind w:left="1437" w:hanging="360"/>
      </w:pPr>
      <w:rPr>
        <w:rFonts w:ascii="Arial" w:eastAsia="Times New Roman" w:hAnsi="Arial" w:cs="Arial" w:hint="default"/>
      </w:r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1" w15:restartNumberingAfterBreak="0">
    <w:nsid w:val="4BAF4D10"/>
    <w:multiLevelType w:val="hybridMultilevel"/>
    <w:tmpl w:val="6002C40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1AF625A"/>
    <w:multiLevelType w:val="hybridMultilevel"/>
    <w:tmpl w:val="E918F9B6"/>
    <w:lvl w:ilvl="0" w:tplc="EDCA269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24" w15:restartNumberingAfterBreak="0">
    <w:nsid w:val="698438E4"/>
    <w:multiLevelType w:val="hybridMultilevel"/>
    <w:tmpl w:val="7E807008"/>
    <w:lvl w:ilvl="0" w:tplc="0C0A0001">
      <w:start w:val="1"/>
      <w:numFmt w:val="bullet"/>
      <w:lvlText w:val=""/>
      <w:lvlJc w:val="left"/>
      <w:pPr>
        <w:ind w:left="1200" w:hanging="360"/>
      </w:pPr>
      <w:rPr>
        <w:rFonts w:ascii="Symbol" w:hAnsi="Symbol"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25"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9"/>
  </w:num>
  <w:num w:numId="5">
    <w:abstractNumId w:val="23"/>
  </w:num>
  <w:num w:numId="6">
    <w:abstractNumId w:val="2"/>
  </w:num>
  <w:num w:numId="7">
    <w:abstractNumId w:val="14"/>
  </w:num>
  <w:num w:numId="8">
    <w:abstractNumId w:val="26"/>
  </w:num>
  <w:num w:numId="9">
    <w:abstractNumId w:val="3"/>
  </w:num>
  <w:num w:numId="10">
    <w:abstractNumId w:val="4"/>
  </w:num>
  <w:num w:numId="11">
    <w:abstractNumId w:val="17"/>
  </w:num>
  <w:num w:numId="12">
    <w:abstractNumId w:val="11"/>
  </w:num>
  <w:num w:numId="13">
    <w:abstractNumId w:val="7"/>
  </w:num>
  <w:num w:numId="14">
    <w:abstractNumId w:val="25"/>
  </w:num>
  <w:num w:numId="15">
    <w:abstractNumId w:val="1"/>
  </w:num>
  <w:num w:numId="16">
    <w:abstractNumId w:val="8"/>
  </w:num>
  <w:num w:numId="17">
    <w:abstractNumId w:val="15"/>
  </w:num>
  <w:num w:numId="18">
    <w:abstractNumId w:val="5"/>
  </w:num>
  <w:num w:numId="19">
    <w:abstractNumId w:val="10"/>
  </w:num>
  <w:num w:numId="20">
    <w:abstractNumId w:val="13"/>
  </w:num>
  <w:num w:numId="21">
    <w:abstractNumId w:val="12"/>
  </w:num>
  <w:num w:numId="22">
    <w:abstractNumId w:val="20"/>
  </w:num>
  <w:num w:numId="23">
    <w:abstractNumId w:val="24"/>
  </w:num>
  <w:num w:numId="24">
    <w:abstractNumId w:val="9"/>
  </w:num>
  <w:num w:numId="25">
    <w:abstractNumId w:val="16"/>
  </w:num>
  <w:num w:numId="26">
    <w:abstractNumId w:val="21"/>
  </w:num>
  <w:num w:numId="27">
    <w:abstractNumId w:val="18"/>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9D"/>
    <w:rsid w:val="00036998"/>
    <w:rsid w:val="0004666E"/>
    <w:rsid w:val="00074FA0"/>
    <w:rsid w:val="0008523C"/>
    <w:rsid w:val="000D2AA1"/>
    <w:rsid w:val="001211F8"/>
    <w:rsid w:val="00133C28"/>
    <w:rsid w:val="001462FF"/>
    <w:rsid w:val="00221536"/>
    <w:rsid w:val="0023154A"/>
    <w:rsid w:val="002373C1"/>
    <w:rsid w:val="00256C69"/>
    <w:rsid w:val="00287C41"/>
    <w:rsid w:val="002C7204"/>
    <w:rsid w:val="002F1F9A"/>
    <w:rsid w:val="00303E31"/>
    <w:rsid w:val="00324DED"/>
    <w:rsid w:val="00325142"/>
    <w:rsid w:val="00333623"/>
    <w:rsid w:val="0033659F"/>
    <w:rsid w:val="00390D79"/>
    <w:rsid w:val="003D5AD6"/>
    <w:rsid w:val="00415065"/>
    <w:rsid w:val="00456AD7"/>
    <w:rsid w:val="00457944"/>
    <w:rsid w:val="00476958"/>
    <w:rsid w:val="004F28D3"/>
    <w:rsid w:val="005168B0"/>
    <w:rsid w:val="00545B20"/>
    <w:rsid w:val="005635AE"/>
    <w:rsid w:val="00582DEF"/>
    <w:rsid w:val="006E7B69"/>
    <w:rsid w:val="00712C73"/>
    <w:rsid w:val="00737F77"/>
    <w:rsid w:val="007714F5"/>
    <w:rsid w:val="00776974"/>
    <w:rsid w:val="007873A5"/>
    <w:rsid w:val="007A7884"/>
    <w:rsid w:val="007A7D70"/>
    <w:rsid w:val="007B2527"/>
    <w:rsid w:val="007E3ED3"/>
    <w:rsid w:val="00820311"/>
    <w:rsid w:val="00873FE6"/>
    <w:rsid w:val="008B2DC7"/>
    <w:rsid w:val="008B368E"/>
    <w:rsid w:val="008F4EF6"/>
    <w:rsid w:val="00923549"/>
    <w:rsid w:val="0094203B"/>
    <w:rsid w:val="00961B4C"/>
    <w:rsid w:val="009874A9"/>
    <w:rsid w:val="009A7A17"/>
    <w:rsid w:val="009B1B9D"/>
    <w:rsid w:val="009B33D3"/>
    <w:rsid w:val="009F35BA"/>
    <w:rsid w:val="00A1169E"/>
    <w:rsid w:val="00A31477"/>
    <w:rsid w:val="00A5547B"/>
    <w:rsid w:val="00A660BA"/>
    <w:rsid w:val="00A678C5"/>
    <w:rsid w:val="00A93FA7"/>
    <w:rsid w:val="00AA083B"/>
    <w:rsid w:val="00AC456B"/>
    <w:rsid w:val="00AD6737"/>
    <w:rsid w:val="00B04AB6"/>
    <w:rsid w:val="00B3593E"/>
    <w:rsid w:val="00B82C3B"/>
    <w:rsid w:val="00B840A6"/>
    <w:rsid w:val="00B93940"/>
    <w:rsid w:val="00BB0C4A"/>
    <w:rsid w:val="00C0421C"/>
    <w:rsid w:val="00C20405"/>
    <w:rsid w:val="00C82670"/>
    <w:rsid w:val="00CA05EA"/>
    <w:rsid w:val="00CC641F"/>
    <w:rsid w:val="00CD10BB"/>
    <w:rsid w:val="00CD686B"/>
    <w:rsid w:val="00D02DBC"/>
    <w:rsid w:val="00D256BD"/>
    <w:rsid w:val="00D307AD"/>
    <w:rsid w:val="00D41E02"/>
    <w:rsid w:val="00D43A0D"/>
    <w:rsid w:val="00D83B15"/>
    <w:rsid w:val="00D85FC8"/>
    <w:rsid w:val="00DF3AE4"/>
    <w:rsid w:val="00E120D1"/>
    <w:rsid w:val="00E16B06"/>
    <w:rsid w:val="00EA1D31"/>
    <w:rsid w:val="00EA265F"/>
    <w:rsid w:val="00EA629C"/>
    <w:rsid w:val="00ED35E6"/>
    <w:rsid w:val="00ED5BBE"/>
    <w:rsid w:val="00EE5507"/>
    <w:rsid w:val="00EF1193"/>
    <w:rsid w:val="00F13334"/>
    <w:rsid w:val="00F410A6"/>
    <w:rsid w:val="00F80844"/>
    <w:rsid w:val="00F82297"/>
    <w:rsid w:val="00F94885"/>
    <w:rsid w:val="00FD3EDA"/>
    <w:rsid w:val="00FF4C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D6CF4C"/>
  <w15:chartTrackingRefBased/>
  <w15:docId w15:val="{F734B6A4-A9EC-4AD6-80E3-453569B9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link w:val="Ttulo3Car"/>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semiHidden/>
    <w:pPr>
      <w:jc w:val="both"/>
    </w:pPr>
    <w:rPr>
      <w:rFonts w:ascii="Arial" w:hAnsi="Arial"/>
      <w:sz w:val="28"/>
    </w:rPr>
  </w:style>
  <w:style w:type="paragraph" w:styleId="Textoindependiente3">
    <w:name w:val="Body Text 3"/>
    <w:basedOn w:val="Normal"/>
    <w:semiHidden/>
    <w:pPr>
      <w:spacing w:line="312" w:lineRule="auto"/>
      <w:jc w:val="both"/>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semiHidden/>
    <w:pPr>
      <w:ind w:left="284"/>
      <w:jc w:val="both"/>
    </w:pPr>
    <w:rPr>
      <w:sz w:val="24"/>
    </w:r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semiHidden/>
    <w:rsid w:val="00ED35E6"/>
    <w:rPr>
      <w:lang w:val="es-ES_tradnl"/>
    </w:rPr>
  </w:style>
  <w:style w:type="character" w:customStyle="1" w:styleId="Ttulo3Car">
    <w:name w:val="Título 3 Car"/>
    <w:link w:val="Ttulo3"/>
    <w:rsid w:val="007E3ED3"/>
    <w:rPr>
      <w:rFonts w:ascii="Gill Sans MT" w:hAnsi="Gill Sans MT"/>
      <w:b/>
      <w:snapToGrid w:val="0"/>
      <w:color w:val="000000"/>
      <w:sz w:val="18"/>
      <w:lang w:val="es-ES_tradnl"/>
    </w:rPr>
  </w:style>
  <w:style w:type="character" w:customStyle="1" w:styleId="EncabezadoCar">
    <w:name w:val="Encabezado Car"/>
    <w:basedOn w:val="Fuentedeprrafopredeter"/>
    <w:link w:val="Encabezado"/>
    <w:uiPriority w:val="99"/>
    <w:rsid w:val="00333623"/>
    <w:rPr>
      <w:lang w:val="es-ES_tradnl"/>
    </w:rPr>
  </w:style>
  <w:style w:type="character" w:customStyle="1" w:styleId="PiedepginaCar">
    <w:name w:val="Pie de página Car"/>
    <w:basedOn w:val="Fuentedeprrafopredeter"/>
    <w:link w:val="Piedepgina"/>
    <w:uiPriority w:val="99"/>
    <w:rsid w:val="00D85FC8"/>
    <w:rPr>
      <w:lang w:val="es-ES_tradnl"/>
    </w:rPr>
  </w:style>
  <w:style w:type="paragraph" w:styleId="Prrafodelista">
    <w:name w:val="List Paragraph"/>
    <w:basedOn w:val="Normal"/>
    <w:uiPriority w:val="1"/>
    <w:qFormat/>
    <w:rsid w:val="00A5547B"/>
    <w:pPr>
      <w:ind w:left="720"/>
      <w:contextualSpacing/>
    </w:pPr>
    <w:rPr>
      <w:rFonts w:ascii="Cambria" w:eastAsia="Cambria" w:hAnsi="Cambria"/>
      <w:sz w:val="24"/>
      <w:szCs w:val="24"/>
      <w:lang w:eastAsia="en-US"/>
    </w:rPr>
  </w:style>
  <w:style w:type="paragraph" w:customStyle="1" w:styleId="Formatolibre">
    <w:name w:val="Formato libre"/>
    <w:uiPriority w:val="99"/>
    <w:rsid w:val="00A5547B"/>
    <w:pPr>
      <w:spacing w:line="336" w:lineRule="auto"/>
    </w:pPr>
    <w:rPr>
      <w:rFonts w:ascii="Bodoni SvtyTwo OS ITC TT-Book" w:eastAsia="ヒラギノ角ゴ Pro W3" w:hAnsi="Bodoni SvtyTwo OS ITC TT-Book" w:cs="Bodoni SvtyTwo OS ITC TT-Book"/>
      <w:color w:val="000000"/>
      <w:sz w:val="24"/>
      <w:szCs w:val="24"/>
      <w:lang w:val="es-ES_tradnl" w:eastAsia="en-US"/>
    </w:rPr>
  </w:style>
  <w:style w:type="character" w:styleId="Ttulodellibro">
    <w:name w:val="Book Title"/>
    <w:uiPriority w:val="33"/>
    <w:qFormat/>
    <w:rsid w:val="00A5547B"/>
    <w:rPr>
      <w:b/>
      <w:bCs/>
      <w:i/>
      <w:iCs/>
      <w:spacing w:val="5"/>
    </w:rPr>
  </w:style>
  <w:style w:type="paragraph" w:customStyle="1" w:styleId="capitulonum">
    <w:name w:val="capitulo_num"/>
    <w:basedOn w:val="Normal"/>
    <w:uiPriority w:val="99"/>
    <w:rsid w:val="00A5547B"/>
    <w:pPr>
      <w:spacing w:before="100" w:beforeAutospacing="1" w:after="100" w:afterAutospacing="1"/>
    </w:pPr>
    <w:rPr>
      <w:sz w:val="24"/>
      <w:szCs w:val="24"/>
      <w:lang w:val="es-ES"/>
    </w:rPr>
  </w:style>
  <w:style w:type="paragraph" w:customStyle="1" w:styleId="Default">
    <w:name w:val="Default"/>
    <w:rsid w:val="0077697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07264">
      <w:bodyDiv w:val="1"/>
      <w:marLeft w:val="0"/>
      <w:marRight w:val="0"/>
      <w:marTop w:val="0"/>
      <w:marBottom w:val="0"/>
      <w:divBdr>
        <w:top w:val="none" w:sz="0" w:space="0" w:color="auto"/>
        <w:left w:val="none" w:sz="0" w:space="0" w:color="auto"/>
        <w:bottom w:val="none" w:sz="0" w:space="0" w:color="auto"/>
        <w:right w:val="none" w:sz="0" w:space="0" w:color="auto"/>
      </w:divBdr>
    </w:div>
    <w:div w:id="6012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dustrias.sganpaq@mintur.es" TargetMode="External"/><Relationship Id="rId2" Type="http://schemas.openxmlformats.org/officeDocument/2006/relationships/hyperlink" Target="mailto:sganpaq@mintur.es" TargetMode="External"/><Relationship Id="rId1" Type="http://schemas.openxmlformats.org/officeDocument/2006/relationships/hyperlink" Target="https://industria.gob.es/ANPAQ/"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dustrias.sganpaq@mincotur.es" TargetMode="External"/><Relationship Id="rId2" Type="http://schemas.openxmlformats.org/officeDocument/2006/relationships/hyperlink" Target="mailto:sganpaq@mincotur.es" TargetMode="External"/><Relationship Id="rId1" Type="http://schemas.openxmlformats.org/officeDocument/2006/relationships/hyperlink" Target="https://industria.gob.es/ANPA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3244</Words>
  <Characters>17377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Gomez Delgado, Leticia</dc:creator>
  <cp:keywords/>
  <cp:lastModifiedBy>Martinez Trejo, Jose</cp:lastModifiedBy>
  <cp:revision>5</cp:revision>
  <cp:lastPrinted>2003-08-25T12:36:00Z</cp:lastPrinted>
  <dcterms:created xsi:type="dcterms:W3CDTF">2024-08-20T12:14:00Z</dcterms:created>
  <dcterms:modified xsi:type="dcterms:W3CDTF">2024-12-12T09:08:00Z</dcterms:modified>
</cp:coreProperties>
</file>